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UV.2019.12 vom 24. Januar 2019</w:t>
      </w:r>
    </w:p>
    <w:p>
      <w:r>
        <w:t>Bs Sozialversicherungsgericht, 2019-01-24, DE</w:t>
      </w:r>
    </w:p>
    <w:p>
      <w:r>
        <w:rPr>
          <w:b/>
        </w:rPr>
        <w:t xml:space="preserve">Quelle: </w:t>
      </w:r>
      <w:r>
        <w:t>https://mcp.opencaselaw.ch/entscheid/bs_sozialversicherungsgericht_UV.2019.12</w:t>
      </w:r>
    </w:p>
    <w:p>
      <w:r>
        <w:t>FR: BS_SOZIALVERSICHERUNGSGERICHT UV.2019.12 du 24 janvier 2019</w:t>
      </w:r>
    </w:p>
    <w:p>
      <w:r>
        <w:t>IT: BS_SOZIALVERSICHERUNGSGERICHT UV.2019.12 del 24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SUVARechtsabteilung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UV.2019.12</w:t>
      </w:r>
    </w:p>
    <w:p>
      <w:r>
        <w:t>Einspracheentscheid vom 24. Januar 2019</w:t>
      </w:r>
    </w:p>
    <w:p>
      <w:r>
        <w:t>Fallabschluss zu Recht erfolgt, kein Rentenanspruch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