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UV.2018.53 vom 5. November 2018</w:t>
      </w:r>
    </w:p>
    <w:p>
      <w:r>
        <w:t>Bs Sozialversicherungsgericht, 2018-11-05, DE</w:t>
      </w:r>
    </w:p>
    <w:p>
      <w:r>
        <w:rPr>
          <w:b/>
        </w:rPr>
        <w:t xml:space="preserve">Quelle: </w:t>
      </w:r>
      <w:r>
        <w:t>https://mcp.opencaselaw.ch/entscheid/bs_sozialversicherungsgericht_UV.2018.53</w:t>
      </w:r>
    </w:p>
    <w:p>
      <w:r>
        <w:t>FR: BS_SOZIALVERSICHERUNGSGERICHT UV.2018.53 du 5 novembre 2018</w:t>
      </w:r>
    </w:p>
    <w:p>
      <w:r>
        <w:t>IT: BS_SOZIALVERSICHERUNGSGERICHT UV.2018.53 del 5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MLaw L. Marti</w:t>
      </w:r>
    </w:p>
    <w:p>
      <w:r>
        <w:t>Parteien</w:t>
      </w:r>
    </w:p>
    <w:p>
      <w:r>
        <w:t>A____Krankenkasse AG</w:t>
      </w:r>
    </w:p>
    <w:p>
      <w:r>
        <w:t>[...]</w:t>
      </w:r>
    </w:p>
    <w:p>
      <w:r>
        <w:t>Beschwerdeführerin</w:t>
      </w:r>
    </w:p>
    <w:p>
      <w:r>
        <w:t>B____AG</w:t>
      </w:r>
    </w:p>
    <w:p>
      <w:r>
        <w:t>[...]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UV.2018.53</w:t>
      </w:r>
    </w:p>
    <w:p>
      <w:r>
        <w:t>Einspracheentscheid vom 5. November 2018</w:t>
      </w:r>
    </w:p>
    <w:p>
      <w:r>
        <w:t>Stressfraktur vorliegend keine Listenverletzung nach Art. 6 Abs. 2 UVG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