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UV.2018.5 vom 9. Januar 2018</w:t>
      </w:r>
    </w:p>
    <w:p>
      <w:r>
        <w:t>Bs Sozialversicherungsgericht, 2018-01-09, DE</w:t>
      </w:r>
    </w:p>
    <w:p>
      <w:r>
        <w:rPr>
          <w:b/>
        </w:rPr>
        <w:t xml:space="preserve">Quelle: </w:t>
      </w:r>
      <w:r>
        <w:t>https://mcp.opencaselaw.ch/entscheid/bs_sozialversicherungsgericht_UV.2018.5</w:t>
      </w:r>
    </w:p>
    <w:p>
      <w:r>
        <w:t>FR: BS_SOZIALVERSICHERUNGSGERICHT UV.2018.5 du 9 janvier 2018</w:t>
      </w:r>
    </w:p>
    <w:p>
      <w:r>
        <w:t>IT: BS_SOZIALVERSICHERUNGSGERICHT UV.2018.5 del 9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August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UV.2018.5</w:t>
      </w:r>
    </w:p>
    <w:p>
      <w:r>
        <w:t>Einspracheentscheid vom 9. Januar 2018</w:t>
      </w:r>
    </w:p>
    <w:p>
      <w:r>
        <w:t>Unfallbegriff nicht erfüllt, jedoch Leistungspflicht für eine Körperschädigung im Sinne von Art. 6 Abs. 2 UVG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