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UV.2018.39 vom 31. August 2018</w:t>
      </w:r>
    </w:p>
    <w:p>
      <w:r>
        <w:t>Bs Sozialversicherungsgericht, 2018-08-31, DE</w:t>
      </w:r>
    </w:p>
    <w:p>
      <w:r>
        <w:rPr>
          <w:b/>
        </w:rPr>
        <w:t xml:space="preserve">Quelle: </w:t>
      </w:r>
      <w:r>
        <w:t>https://mcp.opencaselaw.ch/entscheid/bs_sozialversicherungsgericht_UV.2018.39</w:t>
      </w:r>
    </w:p>
    <w:p>
      <w:r>
        <w:t>FR: BS_SOZIALVERSICHERUNGSGERICHT UV.2018.39 du 31 août 2018</w:t>
      </w:r>
    </w:p>
    <w:p>
      <w:r>
        <w:t>IT: BS_SOZIALVERSICHERUNGSGERICHT UV.2018.39 del 31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Mai 2019</w:t>
      </w:r>
    </w:p>
    <w:p>
      <w:r>
        <w:t>Mitwirkende</w:t>
      </w:r>
    </w:p>
    <w:p>
      <w:r>
        <w:t>lic. iur. K. Zehnder (Vorsitz), lic. iur. M. Spöndlin, Dr. med. R. von Aarburg 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UV.2018.39</w:t>
      </w:r>
    </w:p>
    <w:p>
      <w:r>
        <w:t>Einspracheentscheid vom 31. August 2018</w:t>
      </w:r>
    </w:p>
    <w:p>
      <w:r>
        <w:t>Listenverletzung ist gegeben; Beschwerdegegnerin vermag Befreiungsbeweis nicht zu erbringen, dass Körperschädigung vorwiegend auf Abnützung/Erkrankung zurückzuführen ist. Beschwerdegegnerin ist leistungspflichtig.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