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UV.2018.25 vom 30. Mai 2018</w:t>
      </w:r>
    </w:p>
    <w:p>
      <w:r>
        <w:t>Bs Sozialversicherungsgericht, 2018-05-30, DE</w:t>
      </w:r>
    </w:p>
    <w:p>
      <w:r>
        <w:rPr>
          <w:b/>
        </w:rPr>
        <w:t xml:space="preserve">Quelle: </w:t>
      </w:r>
      <w:r>
        <w:t>https://mcp.opencaselaw.ch/entscheid/bs_sozialversicherungsgericht_UV.2018.25</w:t>
      </w:r>
    </w:p>
    <w:p>
      <w:r>
        <w:t>FR: BS_SOZIALVERSICHERUNGSGERICHT UV.2018.25 du 30 mai 2018</w:t>
      </w:r>
    </w:p>
    <w:p>
      <w:r>
        <w:t>IT: BS_SOZIALVERSICHERUNGSGERICHT UV.2018.25 del 30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Dezember 2018</w:t>
      </w:r>
    </w:p>
    <w:p>
      <w:r>
        <w:t>Mitwirkende</w:t>
      </w:r>
    </w:p>
    <w:p>
      <w:r>
        <w:t>Dr. G. Thomi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vertreten durch C____,</w:t>
      </w:r>
    </w:p>
    <w:p>
      <w:r>
        <w:t>Advokat, [...],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UV.2018.25</w:t>
      </w:r>
    </w:p>
    <w:p>
      <w:r>
        <w:t>Einspracheentscheid vom 30. Mai 2018</w:t>
      </w:r>
    </w:p>
    <w:p>
      <w:r>
        <w:t>Einstellung der vorübergehenden Leistungen; vorliegend verfrüht erfolgt.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