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UV.2018.17 vom 25. September 2018</w:t>
      </w:r>
    </w:p>
    <w:p>
      <w:r>
        <w:t>Bs Sozialversicherungsgericht, 2018-09-25, DE</w:t>
      </w:r>
    </w:p>
    <w:p>
      <w:r>
        <w:rPr>
          <w:b/>
        </w:rPr>
        <w:t xml:space="preserve">Quelle: </w:t>
      </w:r>
      <w:r>
        <w:t>https://mcp.opencaselaw.ch/entscheid/bs_sozialversicherungsgericht_UV.2018.17</w:t>
      </w:r>
    </w:p>
    <w:p>
      <w:r>
        <w:t>FR: BS_SOZIALVERSICHERUNGSGERICHT UV.2018.17 du 25 septembre 2018</w:t>
      </w:r>
    </w:p>
    <w:p>
      <w:r>
        <w:t>IT: BS_SOZIALVERSICHERUNGSGERICHT UV.2018.17 del 25 settembre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25. September 2018</w:t>
      </w:r>
    </w:p>
    <w:p>
      <w:r>
        <w:t>Mitwirkende</w:t>
      </w:r>
    </w:p>
    <w:p>
      <w:r>
        <w:t>Dr. A. Pfleiderer (Vorsitz), lic. iur. M. Spöndlin,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SUVA, Rechtsabteilung,</w:t>
      </w:r>
    </w:p>
    <w:p>
      <w:r>
        <w:t>Fluhmattstrasse 1, Postfach, 6002 Luzern</w:t>
      </w:r>
    </w:p>
    <w:p>
      <w:r>
        <w:t>Beschwerdegegnerin</w:t>
      </w:r>
    </w:p>
    <w:p>
      <w:r>
        <w:t>Gegenstand</w:t>
      </w:r>
    </w:p>
    <w:p>
      <w:r>
        <w:t>UV.2018.17</w:t>
      </w:r>
    </w:p>
    <w:p>
      <w:r>
        <w:t>Einspracheentscheid vom 9. Mai 2018</w:t>
      </w:r>
    </w:p>
    <w:p>
      <w:r>
        <w:t>Anforderungen an kreisärztlichen Bericht; vorliegend nicht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