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UV.2018.16 vom 19. April 2018</w:t>
      </w:r>
    </w:p>
    <w:p>
      <w:r>
        <w:t>Bs Sozialversicherungsgericht, 2018-04-19, DE</w:t>
      </w:r>
    </w:p>
    <w:p>
      <w:r>
        <w:rPr>
          <w:b/>
        </w:rPr>
        <w:t xml:space="preserve">Quelle: </w:t>
      </w:r>
      <w:r>
        <w:t>https://mcp.opencaselaw.ch/entscheid/bs_sozialversicherungsgericht_UV.2018.16</w:t>
      </w:r>
    </w:p>
    <w:p>
      <w:r>
        <w:t>FR: BS_SOZIALVERSICHERUNGSGERICHT UV.2018.16 du 19 avril 2018</w:t>
      </w:r>
    </w:p>
    <w:p>
      <w:r>
        <w:t>IT: BS_SOZIALVERSICHERUNGSGERICHT UV.2018.16 del 19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2019</w:t>
      </w:r>
    </w:p>
    <w:p>
      <w:r>
        <w:t>Mitwirkende</w:t>
      </w:r>
    </w:p>
    <w:p>
      <w:r>
        <w:t>lic. iur. K. Zehnder (Vorsitz), lic. iur. M. Prack Hoenen,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UV.2018.16</w:t>
      </w:r>
    </w:p>
    <w:p>
      <w:r>
        <w:t>Einspracheentscheid vom 19. April 2018</w:t>
      </w:r>
    </w:p>
    <w:p>
      <w:r>
        <w:t>Eintreten nur soweit ein Anfechtungsobjekt vorliegt; Taggeld, Rente und Integritätsentschädigung strittig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