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UV.2018.12 vom 2. März 2018</w:t>
      </w:r>
    </w:p>
    <w:p>
      <w:r>
        <w:t>Bs Sozialversicherungsgericht, 2018-03-02, DE</w:t>
      </w:r>
    </w:p>
    <w:p>
      <w:r>
        <w:rPr>
          <w:b/>
        </w:rPr>
        <w:t xml:space="preserve">Quelle: </w:t>
      </w:r>
      <w:r>
        <w:t>https://mcp.opencaselaw.ch/entscheid/bs_sozialversicherungsgericht_UV.2018.12</w:t>
      </w:r>
    </w:p>
    <w:p>
      <w:r>
        <w:t>FR: BS_SOZIALVERSICHERUNGSGERICHT UV.2018.12 du 2 mars 2018</w:t>
      </w:r>
    </w:p>
    <w:p>
      <w:r>
        <w:t>IT: BS_SOZIALVERSICHERUNGSGERICHT UV.2018.12 del 2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Oktober 2018</w:t>
      </w:r>
    </w:p>
    <w:p>
      <w:r>
        <w:t>Mitwirkende</w:t>
      </w:r>
    </w:p>
    <w:p>
      <w:r>
        <w:t>lic. iur. K. Zehnder (Vorsitz), P. Waegeli, Dr. med. C. Karli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[...], Herr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UV.2018.12</w:t>
      </w:r>
    </w:p>
    <w:p>
      <w:r>
        <w:t>Einspracheentscheid vom 2. März 2018</w:t>
      </w:r>
    </w:p>
    <w:p>
      <w:r>
        <w:t>Unfallkausalität, Beweiswert bidisziplinäres Gutachten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