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UV.2017.56 vom 3. Oktober 2017</w:t>
      </w:r>
    </w:p>
    <w:p>
      <w:r>
        <w:t>Bs Sozialversicherungsgericht, 2017-10-03, DE</w:t>
      </w:r>
    </w:p>
    <w:p>
      <w:r>
        <w:rPr>
          <w:b/>
        </w:rPr>
        <w:t xml:space="preserve">Quelle: </w:t>
      </w:r>
      <w:r>
        <w:t>https://mcp.opencaselaw.ch/entscheid/bs_sozialversicherungsgericht_UV.2017.56</w:t>
      </w:r>
    </w:p>
    <w:p>
      <w:r>
        <w:t>FR: BS_SOZIALVERSICHERUNGSGERICHT UV.2017.56 du 3 octobre 2017</w:t>
      </w:r>
    </w:p>
    <w:p>
      <w:r>
        <w:t>IT: BS_SOZIALVERSICHERUNGSGERICHT UV.2017.56 del 3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UV.2017.56</w:t>
      </w:r>
    </w:p>
    <w:p>
      <w:r>
        <w:t>Einspracheentscheid vom 3. Oktober 2017</w:t>
      </w:r>
    </w:p>
    <w:p>
      <w:r>
        <w:t>Unfall und unfallähnliches Ereignis als Leistungsvoraussetzungen nicht erfüllt.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