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UV.2017.27 vom 7. April 2017</w:t>
      </w:r>
    </w:p>
    <w:p>
      <w:r>
        <w:t>Bs Sozialversicherungsgericht, 2017-04-07, DE</w:t>
      </w:r>
    </w:p>
    <w:p>
      <w:r>
        <w:rPr>
          <w:b/>
        </w:rPr>
        <w:t xml:space="preserve">Quelle: </w:t>
      </w:r>
      <w:r>
        <w:t>https://mcp.opencaselaw.ch/entscheid/bs_sozialversicherungsgericht_UV.2017.27</w:t>
      </w:r>
    </w:p>
    <w:p>
      <w:r>
        <w:t>FR: BS_SOZIALVERSICHERUNGSGERICHT UV.2017.27 du 7 avril 2017</w:t>
      </w:r>
    </w:p>
    <w:p>
      <w:r>
        <w:t>IT: BS_SOZIALVERSICHERUNGSGERICHT UV.2017.27 del 7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2017</w:t>
      </w:r>
    </w:p>
    <w:p>
      <w:r>
        <w:t>Mitwirkende</w:t>
      </w:r>
    </w:p>
    <w:p>
      <w:r>
        <w:t>lic. iur. K. Zehnder (Vorsitz), Dr. med.W. Rühl, MLaw M. Kreis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UV.2017.27</w:t>
      </w:r>
    </w:p>
    <w:p>
      <w:r>
        <w:t>Einspracheentscheid vom 7. April 2017</w:t>
      </w:r>
    </w:p>
    <w:p>
      <w:r>
        <w:t>Unfallkausalität von gesundheitlichen Beeinträchtigungen und Höhe des Integritätsschadens, Rückweisung zur ergänzenden Abklärung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