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UV.2017.14 vom 9. Februar 2017</w:t>
      </w:r>
    </w:p>
    <w:p>
      <w:r>
        <w:t>Bs Sozialversicherungsgericht, 2017-02-09, DE</w:t>
      </w:r>
    </w:p>
    <w:p>
      <w:r>
        <w:rPr>
          <w:b/>
        </w:rPr>
        <w:t xml:space="preserve">Quelle: </w:t>
      </w:r>
      <w:r>
        <w:t>https://mcp.opencaselaw.ch/entscheid/bs_sozialversicherungsgericht_UV.2017.14</w:t>
      </w:r>
    </w:p>
    <w:p>
      <w:r>
        <w:t>FR: BS_SOZIALVERSICHERUNGSGERICHT UV.2017.14 du 9 février 2017</w:t>
      </w:r>
    </w:p>
    <w:p>
      <w:r>
        <w:t>IT: BS_SOZIALVERSICHERUNGSGERICHT UV.2017.14 del 9 febbraio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Oktober 2019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UV.2017.14</w:t>
      </w:r>
    </w:p>
    <w:p>
      <w:r>
        <w:t>Einspracheentscheid vom 9. Februar 2017</w:t>
      </w:r>
    </w:p>
    <w:p>
      <w:r>
        <w:t>Höhe der Invalidenrente und der Integritätsentschädigung; adäquater Kausalzusammenhang.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