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UV.2013.50 vom 6. November 2013</w:t>
      </w:r>
    </w:p>
    <w:p>
      <w:r>
        <w:t>Bs Sozialversicherungsgericht, 2013-11-06, DE</w:t>
      </w:r>
    </w:p>
    <w:p>
      <w:r>
        <w:rPr>
          <w:b/>
        </w:rPr>
        <w:t xml:space="preserve">Quelle: </w:t>
      </w:r>
      <w:r>
        <w:t>https://mcp.opencaselaw.ch/entscheid/bs_sozialversicherungsgericht_UV.2013.50</w:t>
      </w:r>
    </w:p>
    <w:p>
      <w:r>
        <w:t>FR: BS_SOZIALVERSICHERUNGSGERICHT UV.2013.50 du 6 novembre 2013</w:t>
      </w:r>
    </w:p>
    <w:p>
      <w:r>
        <w:t>IT: BS_SOZIALVERSICHERUNGSGERICHT UV.2013.50 del 6 novembre 2013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vom4. Dezember 2017</w:t>
      </w:r>
    </w:p>
    <w:p>
      <w:r>
        <w:t>Mitwirkende</w:t>
      </w:r>
    </w:p>
    <w:p>
      <w:r>
        <w:t>Dr. A. Pfleiderer (Vorsitz), lic. iur. R. Ley, Dr. med. C. Karli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UV.2013.50</w:t>
      </w:r>
    </w:p>
    <w:p>
      <w:r>
        <w:t>Einspracheentscheid vom 6. November 2013</w:t>
      </w:r>
    </w:p>
    <w:p>
      <w:r>
        <w:t>Grade der Arbeitsunfähigkeit und der Erwerbsunfähigkeit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