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KV.2025.2 vom 17. Februar 2026</w:t>
      </w:r>
    </w:p>
    <w:p>
      <w:r>
        <w:t>Bs Sozialversicherungsgericht, 2026-02-17, DE</w:t>
      </w:r>
    </w:p>
    <w:p>
      <w:r>
        <w:rPr>
          <w:b/>
        </w:rPr>
        <w:t xml:space="preserve">Quelle: </w:t>
      </w:r>
      <w:r>
        <w:t>https://mcp.opencaselaw.ch/entscheid/bs_sozialversicherungsgericht_KV.2025.2</w:t>
      </w:r>
    </w:p>
    <w:p>
      <w:r>
        <w:t>FR: BS_SOZIALVERSICHERUNGSGERICHT KV.2025.2 du 17 février 2026</w:t>
      </w:r>
    </w:p>
    <w:p>
      <w:r>
        <w:t>IT: BS_SOZIALVERSICHERUNGSGERICHT KV.2025.2 del 17 febbraio 2026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18. Mai 2026</w:t>
      </w:r>
    </w:p>
    <w:p>
      <w:r>
        <w:t>Mitwirkende</w:t>
      </w:r>
    </w:p>
    <w:p>
      <w:r>
        <w:t>Dr. A. Pfleiderer (Vorsitz), lic. phil. D. Borer, Dr. med. F. W. Eymann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B____ AG</w:t>
      </w:r>
    </w:p>
    <w:p>
      <w:r>
        <w:t>[...]</w:t>
      </w:r>
    </w:p>
    <w:p>
      <w:r>
        <w:t>Beschwerdegegnerin</w:t>
      </w:r>
    </w:p>
    <w:p>
      <w:r>
        <w:t>Gegenstand</w:t>
      </w:r>
    </w:p>
    <w:p>
      <w:r>
        <w:t>KV.2025.2</w:t>
      </w:r>
    </w:p>
    <w:p>
      <w:r>
        <w:t>Einspracheentscheid vom 5. Februar 2025</w:t>
      </w:r>
    </w:p>
    <w:p>
      <w:r>
        <w:t>Rechtsöffnung</w:t>
      </w:r>
    </w:p>
    <w:p>
      <w:r>
        <w:t>Die Präsidentin 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