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KV.2020.5 vom 25. März 2020</w:t>
      </w:r>
    </w:p>
    <w:p>
      <w:r>
        <w:t>Bs Sozialversicherungsgericht, 2020-03-25, DE</w:t>
      </w:r>
    </w:p>
    <w:p>
      <w:r>
        <w:rPr>
          <w:b/>
        </w:rPr>
        <w:t xml:space="preserve">Quelle: </w:t>
      </w:r>
      <w:r>
        <w:t>https://mcp.opencaselaw.ch/entscheid/bs_sozialversicherungsgericht_KV.2020.5</w:t>
      </w:r>
    </w:p>
    <w:p>
      <w:r>
        <w:t>FR: BS_SOZIALVERSICHERUNGSGERICHT KV.2020.5 du 25 mars 2020</w:t>
      </w:r>
    </w:p>
    <w:p>
      <w:r>
        <w:t>IT: BS_SOZIALVERSICHERUNGSGERICHT KV.2020.5 del 25 marzo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vom1. September 2020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KV.2020.5</w:t>
      </w:r>
    </w:p>
    <w:p>
      <w:r>
        <w:t>Einspracheentscheid vom 25. März 2020</w:t>
      </w:r>
    </w:p>
    <w:p>
      <w:r>
        <w:t>Melde- und Substantiierungspflicht betreffend ein niedrigeres Einkommen für die Neuberechnung des Anspruchs auf kantonale Prämienverbilligung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PfleidererMLaw, Noëmi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