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KV.2020.2 vom 18. Dezember 2019</w:t>
      </w:r>
    </w:p>
    <w:p>
      <w:r>
        <w:t>Bs Sozialversicherungsgericht, 2019-12-18, DE</w:t>
      </w:r>
    </w:p>
    <w:p>
      <w:r>
        <w:rPr>
          <w:b/>
        </w:rPr>
        <w:t xml:space="preserve">Quelle: </w:t>
      </w:r>
      <w:r>
        <w:t>https://mcp.opencaselaw.ch/entscheid/bs_sozialversicherungsgericht_KV.2020.2</w:t>
      </w:r>
    </w:p>
    <w:p>
      <w:r>
        <w:t>FR: BS_SOZIALVERSICHERUNGSGERICHT KV.2020.2 du 18 décembre 2019</w:t>
      </w:r>
    </w:p>
    <w:p>
      <w:r>
        <w:t>IT: BS_SOZIALVERSICHERUNGSGERICHT KV.2020.2 del 18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Oktober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KV.2020.2</w:t>
      </w:r>
    </w:p>
    <w:p>
      <w:r>
        <w:t>Einspracheentscheid vom 18. Dezember 2019</w:t>
      </w:r>
    </w:p>
    <w:p>
      <w:r>
        <w:t>Wirksamkeit, Zweckmässigkeit und Wirtschaftlichkeit einer hochfrequenten Psychotherapie à vier Stunden pro Woche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