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KV.2020.14 vom 7. September 2020</w:t>
      </w:r>
    </w:p>
    <w:p>
      <w:r>
        <w:t>Bs Sozialversicherungsgericht, 2020-09-07, DE</w:t>
      </w:r>
    </w:p>
    <w:p>
      <w:r>
        <w:rPr>
          <w:b/>
        </w:rPr>
        <w:t xml:space="preserve">Quelle: </w:t>
      </w:r>
      <w:r>
        <w:t>https://mcp.opencaselaw.ch/entscheid/bs_sozialversicherungsgericht_KV.2020.14</w:t>
      </w:r>
    </w:p>
    <w:p>
      <w:r>
        <w:t>FR: BS_SOZIALVERSICHERUNGSGERICHT KV.2020.14 du 7 septembre 2020</w:t>
      </w:r>
    </w:p>
    <w:p>
      <w:r>
        <w:t>IT: BS_SOZIALVERSICHERUNGSGERICHT KV.2020.14 del 7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März 2021</w:t>
      </w:r>
    </w:p>
    <w:p>
      <w:r>
        <w:t>Mitwirkende</w:t>
      </w:r>
    </w:p>
    <w:p>
      <w:r>
        <w:t>lic. iur. K. Zehnder (Vorsitz), Dr. med. W. Rühl, lic. iur. R. Schnyder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KV.2020.14</w:t>
      </w:r>
    </w:p>
    <w:p>
      <w:r>
        <w:t>Einspracheentscheid vom 7. September 2020</w:t>
      </w:r>
    </w:p>
    <w:p>
      <w:r>
        <w:t>Beschwerde teilweise gutgeheissen. Restriktive Auslegung des Begriffs der Steuerverfügung in § 13 Abs. 1 SoHaV.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