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KV.2020.12 vom 8. Juli 2020</w:t>
      </w:r>
    </w:p>
    <w:p>
      <w:r>
        <w:t>Bs Sozialversicherungsgericht, 2020-07-08, DE</w:t>
      </w:r>
    </w:p>
    <w:p>
      <w:r>
        <w:rPr>
          <w:b/>
        </w:rPr>
        <w:t xml:space="preserve">Quelle: </w:t>
      </w:r>
      <w:r>
        <w:t>https://mcp.opencaselaw.ch/entscheid/bs_sozialversicherungsgericht_KV.2020.12</w:t>
      </w:r>
    </w:p>
    <w:p>
      <w:r>
        <w:t>FR: BS_SOZIALVERSICHERUNGSGERICHT KV.2020.12 du 8 juillet 2020</w:t>
      </w:r>
    </w:p>
    <w:p>
      <w:r>
        <w:t>IT: BS_SOZIALVERSICHERUNGSGERICHT KV.2020.12 del 8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Dezember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KV.2020.12</w:t>
      </w:r>
    </w:p>
    <w:p>
      <w:r>
        <w:t>Einspracheentscheid vom 8. Juli 2020</w:t>
      </w:r>
    </w:p>
    <w:p>
      <w:r>
        <w:t>Kein Anspruch auf Übernahme der Kosten für eine mediale Oberschenkelstraffung zu Lasten der Grundversicherung.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