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 vom 14. September 2020</w:t>
      </w:r>
    </w:p>
    <w:p>
      <w:r>
        <w:t>Bs Sozialversicherungsgericht, 2020-09-14, DE</w:t>
      </w:r>
    </w:p>
    <w:p>
      <w:r>
        <w:rPr>
          <w:b/>
        </w:rPr>
        <w:t xml:space="preserve">Quelle: </w:t>
      </w:r>
      <w:r>
        <w:t>https://mcp.opencaselaw.ch/entscheid/bs_sozialversicherungsgericht_KV.2020.1</w:t>
      </w:r>
    </w:p>
    <w:p>
      <w:r>
        <w:t>FR: BS_SOZIALVERSICHERUNGSGERICHT KV.2020.1 du 14 septembre 2020</w:t>
      </w:r>
    </w:p>
    <w:p>
      <w:r>
        <w:t>IT: BS_SOZIALVERSICHERUNGSGERICHT KV.2020.1 del 14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 1</w:t>
      </w:r>
    </w:p>
    <w:p>
      <w:r>
        <w:t>B____</w:t>
      </w:r>
    </w:p>
    <w:p>
      <w:r>
        <w:t>Beschwerdeführerin 2</w:t>
      </w:r>
    </w:p>
    <w:p>
      <w:r>
        <w:t>beide vertreten durch C____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KV.2020.1</w:t>
      </w:r>
    </w:p>
    <w:p>
      <w:r>
        <w:t>Einspracheenscheid vom 3. Dezember 2019</w:t>
      </w:r>
    </w:p>
    <w:p>
      <w:r>
        <w:t>Kantonale bedarfsabhängige Sozialleistungen: Berücksichtigung des Kindesvermögens bei der Ermittlung des anrechenbaren 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