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KV.2019.2 vom 1. April 2019</w:t>
      </w:r>
    </w:p>
    <w:p>
      <w:r>
        <w:t>Bs Sozialversicherungsgericht, 2019-04-01, DE</w:t>
      </w:r>
    </w:p>
    <w:p>
      <w:r>
        <w:rPr>
          <w:b/>
        </w:rPr>
        <w:t xml:space="preserve">Quelle: </w:t>
      </w:r>
      <w:r>
        <w:t>https://mcp.opencaselaw.ch/entscheid/bs_sozialversicherungsgericht_KV.2019.2</w:t>
      </w:r>
    </w:p>
    <w:p>
      <w:r>
        <w:t>FR: BS_SOZIALVERSICHERUNGSGERICHT KV.2019.2 du 1 avril 2019</w:t>
      </w:r>
    </w:p>
    <w:p>
      <w:r>
        <w:t>IT: BS_SOZIALVERSICHERUNGSGERICHT KV.2019.2 del 1 aprile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Dezember 2019</w:t>
      </w:r>
    </w:p>
    <w:p>
      <w:r>
        <w:t>Mitwirkende</w:t>
      </w:r>
    </w:p>
    <w:p>
      <w:r>
        <w:t>Dr. A. Pfleiderer (Vorsitz), Dr. med. C. Karli, MLaw T. Conti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KV.2019.2</w:t>
      </w:r>
    </w:p>
    <w:p>
      <w:r>
        <w:t>Einspracheentscheid vom 1. April 2019</w:t>
      </w:r>
    </w:p>
    <w:p>
      <w:r>
        <w:t>Klippel-Trénaunay-Syndrom; Anspruch auf Kostengutsprache für stationären Aufenthalt bejaht.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