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KV.2019.12 vom 30. Oktober 2019</w:t>
      </w:r>
    </w:p>
    <w:p>
      <w:r>
        <w:t>Bs Sozialversicherungsgericht, 2019-10-30, DE</w:t>
      </w:r>
    </w:p>
    <w:p>
      <w:r>
        <w:rPr>
          <w:b/>
        </w:rPr>
        <w:t xml:space="preserve">Quelle: </w:t>
      </w:r>
      <w:r>
        <w:t>https://mcp.opencaselaw.ch/entscheid/bs_sozialversicherungsgericht_KV.2019.12</w:t>
      </w:r>
    </w:p>
    <w:p>
      <w:r>
        <w:t>FR: BS_SOZIALVERSICHERUNGSGERICHT KV.2019.12 du 30 octobre 2019</w:t>
      </w:r>
    </w:p>
    <w:p>
      <w:r>
        <w:t>IT: BS_SOZIALVERSICHERUNGSGERICHT KV.2019.12 del 30 ottobre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 5. Februar 2020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B____</w:t>
      </w:r>
    </w:p>
    <w:p>
      <w:r>
        <w:t>Beschwerdegegnerin</w:t>
      </w:r>
    </w:p>
    <w:p>
      <w:r>
        <w:t>Gegenstand</w:t>
      </w:r>
    </w:p>
    <w:p>
      <w:r>
        <w:t>KV.2019.12</w:t>
      </w:r>
    </w:p>
    <w:p>
      <w:r>
        <w:t>Einspracheentscheid vom 30. Oktober 2019</w:t>
      </w:r>
    </w:p>
    <w:p>
      <w:r>
        <w:t>Rechtsöffnung erteilt für Kostenbeteiligung.</w:t>
      </w:r>
    </w:p>
    <w:p>
      <w:r>
        <w:t>Die Präsidentin                                                         Die a.o. Gerichtsschreiberin</w:t>
      </w:r>
    </w:p>
    <w:p>
      <w:r>
        <w:t>lic. iur. K. ZehnderBLaw G. Kiefer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