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KV.2019.11 vom 1. Januar 2019</w:t>
      </w:r>
    </w:p>
    <w:p>
      <w:r>
        <w:t>Bs Sozialversicherungsgericht, 2019-01-01, DE</w:t>
      </w:r>
    </w:p>
    <w:p>
      <w:r>
        <w:rPr>
          <w:b/>
        </w:rPr>
        <w:t xml:space="preserve">Quelle: </w:t>
      </w:r>
      <w:r>
        <w:t>https://mcp.opencaselaw.ch/entscheid/bs_sozialversicherungsgericht_KV.2019.11</w:t>
      </w:r>
    </w:p>
    <w:p>
      <w:r>
        <w:t>FR: BS_SOZIALVERSICHERUNGSGERICHT KV.2019.11 du 1 janvier 2019</w:t>
      </w:r>
    </w:p>
    <w:p>
      <w:r>
        <w:t>IT: BS_SOZIALVERSICHERUNGSGERICHT KV.2019.11 del 1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vom1. September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KV.2019.11</w:t>
      </w:r>
    </w:p>
    <w:p>
      <w:r>
        <w:t>Einspracheentscheid vom 1. Januar 2019</w:t>
      </w:r>
    </w:p>
    <w:p>
      <w:r>
        <w:t>Umteilung von einer besonderen Telefon-Versicherungsform in die ordentliche Grundversicherung aufgrund Verletzung der reglementarischen Pflichten bestätigt.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Noëmi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