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KV.2018.7 vom 2. Mai 2018</w:t>
      </w:r>
    </w:p>
    <w:p>
      <w:r>
        <w:t>Bs Sozialversicherungsgericht, 2018-05-02, DE</w:t>
      </w:r>
    </w:p>
    <w:p>
      <w:r>
        <w:rPr>
          <w:b/>
        </w:rPr>
        <w:t xml:space="preserve">Quelle: </w:t>
      </w:r>
      <w:r>
        <w:t>https://mcp.opencaselaw.ch/entscheid/bs_sozialversicherungsgericht_KV.2018.7</w:t>
      </w:r>
    </w:p>
    <w:p>
      <w:r>
        <w:t>FR: BS_SOZIALVERSICHERUNGSGERICHT KV.2018.7 du 2 mai 2018</w:t>
      </w:r>
    </w:p>
    <w:p>
      <w:r>
        <w:t>IT: BS_SOZIALVERSICHERUNGSGERICHT KV.2018.7 del 2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Oktober 2018</w:t>
      </w:r>
    </w:p>
    <w:p>
      <w:r>
        <w:t>Mitwirkende</w:t>
      </w:r>
    </w:p>
    <w:p>
      <w:r>
        <w:t>Dr. G. Thomi (Vorsitz), R. Köhler, C. Müller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KV.2018.7</w:t>
      </w:r>
    </w:p>
    <w:p>
      <w:r>
        <w:t>Einspracheentscheid vom 2. Mai 2018</w:t>
      </w:r>
    </w:p>
    <w:p>
      <w:r>
        <w:t>Akuttarif oder Pflegetarif bei stationärer Behandlung.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