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KV.2017.9 vom 8. Januar 2018</w:t>
      </w:r>
    </w:p>
    <w:p>
      <w:r>
        <w:t>Bs Sozialversicherungsgericht, 2018-01-08, DE</w:t>
      </w:r>
    </w:p>
    <w:p>
      <w:r>
        <w:rPr>
          <w:b/>
        </w:rPr>
        <w:t xml:space="preserve">Quelle: </w:t>
      </w:r>
      <w:r>
        <w:t>https://mcp.opencaselaw.ch/entscheid/bs_sozialversicherungsgericht_KV.2017.9</w:t>
      </w:r>
    </w:p>
    <w:p>
      <w:r>
        <w:t>FR: BS_SOZIALVERSICHERUNGSGERICHT KV.2017.9 du 8 janvier 2018</w:t>
      </w:r>
    </w:p>
    <w:p>
      <w:r>
        <w:t>IT: BS_SOZIALVERSICHERUNGSGERICHT KV.2017.9 del 8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8.Januar 2018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KV.2017.9</w:t>
      </w:r>
    </w:p>
    <w:p>
      <w:r>
        <w:t>Einspracheentscheide vom 7. September 2017 betreffend die Dossiers Nr. 70943, Nr. 92757 und Nr. 102274</w:t>
      </w:r>
    </w:p>
    <w:p>
      <w:r>
        <w:t>Höhe der Mahngebühren bei Zahlungsausständen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