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IV.2025.65 vom 11. April 2025</w:t>
      </w:r>
    </w:p>
    <w:p>
      <w:r>
        <w:t>Bs Sozialversicherungsgericht, 2025-04-11, DE</w:t>
      </w:r>
    </w:p>
    <w:p>
      <w:r>
        <w:rPr>
          <w:b/>
        </w:rPr>
        <w:t xml:space="preserve">Quelle: </w:t>
      </w:r>
      <w:r>
        <w:t>https://mcp.opencaselaw.ch/entscheid/bs_sozialversicherungsgericht_IV.2025.65</w:t>
      </w:r>
    </w:p>
    <w:p>
      <w:r>
        <w:t>FR: BS_SOZIALVERSICHERUNGSGERICHT IV.2025.65 du 11 avril 2025</w:t>
      </w:r>
    </w:p>
    <w:p>
      <w:r>
        <w:t>IT: BS_SOZIALVERSICHERUNGSGERICHT IV.2025.65 del 11 aprile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November 2025</w:t>
      </w:r>
    </w:p>
    <w:p>
      <w:r>
        <w:t>Mitwirkende</w:t>
      </w:r>
    </w:p>
    <w:p>
      <w:r>
        <w:t>Dr. A. Pfleiderer (Vorsitz), MLaw A. Zalad, S. Schenker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Stephan Müller, Advokat,</w:t>
      </w:r>
    </w:p>
    <w:p>
      <w:r>
        <w:t>c/o Procap, Frohburgstrasse 4, Postfach, 4601 Olten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IV.2025.65</w:t>
      </w:r>
    </w:p>
    <w:p>
      <w:r>
        <w:t>Verfügung vom 11. April 2025</w:t>
      </w:r>
    </w:p>
    <w:p>
      <w:r>
        <w:t>Neuanmeldung; Glaubhaftmachen der Veränderung</w:t>
      </w:r>
    </w:p>
    <w:p>
      <w:r>
        <w:t>Die Präsidentin 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