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IV.2025.59 vom 4. April 2025</w:t>
      </w:r>
    </w:p>
    <w:p>
      <w:r>
        <w:t>Bs Sozialversicherungsgericht, 2025-04-04, DE</w:t>
      </w:r>
    </w:p>
    <w:p>
      <w:r>
        <w:rPr>
          <w:b/>
        </w:rPr>
        <w:t xml:space="preserve">Quelle: </w:t>
      </w:r>
      <w:r>
        <w:t>https://mcp.opencaselaw.ch/entscheid/bs_sozialversicherungsgericht_IV.2025.59</w:t>
      </w:r>
    </w:p>
    <w:p>
      <w:r>
        <w:t>FR: BS_SOZIALVERSICHERUNGSGERICHT IV.2025.59 du 4 avril 2025</w:t>
      </w:r>
    </w:p>
    <w:p>
      <w:r>
        <w:t>IT: BS_SOZIALVERSICHERUNGSGERICHT IV.2025.59 del 4 aprile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vom30. September 2025</w:t>
      </w:r>
    </w:p>
    <w:p>
      <w:r>
        <w:t>Mitwirkende</w:t>
      </w:r>
    </w:p>
    <w:p>
      <w:r>
        <w:t>Dr. G. Thomi (Vorsitz), C. Müller, Dr. med.F. W. Eymann</w:t>
      </w:r>
    </w:p>
    <w:p>
      <w:r>
        <w:t>und Gerichtsschreiber Dr. R. Schibli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Stephan Müller, c/o Procap,</w:t>
      </w:r>
    </w:p>
    <w:p>
      <w:r>
        <w:t>Froburgstrasse 4, Postfach, 4601 Olten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IV.2025.59</w:t>
      </w:r>
    </w:p>
    <w:p>
      <w:r>
        <w:t>Verfügung vom 4. April 2025</w:t>
      </w:r>
    </w:p>
    <w:p>
      <w:r>
        <w:t>Keine erhebliche Veränderung des Gesundheitszustands; Rentenanspruch dennoch bejaht wegen Anwendung des neu ab 1. Januar 2024 geltenden Pauschalabzugs vom Invalideneinkommen (Art. 26bis Abs. 3 IVV; Abs. 2 der Übergangsbestimmung zur Änderung vom 18. Oktober 2023 der IVV); Beschwerde gutgeheissen</w:t>
      </w:r>
    </w:p>
    <w:p>
      <w:r>
        <w:t>Die Beschwerdegegnerin bezahlt dem Beschwerdeführer eine Parteientschädigung von Fr. 3'750.00 (inkl. Auslagen) zuzüglich Mehrwertsteuer von Fr. 303.75.</w:t>
      </w:r>
    </w:p>
    <w:p>
      <w:r>
        <w:t>Der Präsident                                                          Der Gerichtsschreiber</w:t>
      </w:r>
    </w:p>
    <w:p>
      <w:r>
        <w:t>Dr. G. ThomiDr. R. Schibli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