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IV.2025.57 vom 17. Februar 2026</w:t>
      </w:r>
    </w:p>
    <w:p>
      <w:r>
        <w:t>Bs Sozialversicherungsgericht, 2026-02-17, DE</w:t>
      </w:r>
    </w:p>
    <w:p>
      <w:r>
        <w:rPr>
          <w:b/>
        </w:rPr>
        <w:t xml:space="preserve">Quelle: </w:t>
      </w:r>
      <w:r>
        <w:t>https://mcp.opencaselaw.ch/entscheid/bs_sozialversicherungsgericht_IV.2025.57</w:t>
      </w:r>
    </w:p>
    <w:p>
      <w:r>
        <w:t>FR: BS_SOZIALVERSICHERUNGSGERICHT IV.2025.57 du 17 février 2026</w:t>
      </w:r>
    </w:p>
    <w:p>
      <w:r>
        <w:t>IT: BS_SOZIALVERSICHERUNGSGERICHT IV.2025.57 del 17 febbraio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Februar 2026</w:t>
      </w:r>
    </w:p>
    <w:p>
      <w:r>
        <w:t>Mitwirkende</w:t>
      </w:r>
    </w:p>
    <w:p>
      <w:r>
        <w:t>Dr. A. Pfleiderer (Vorsitz), lic. phil. D. Borer, Dr. med. F. W. Eymann</w:t>
      </w:r>
    </w:p>
    <w:p>
      <w:r>
        <w:t>und a.o. Gerichtsschreiberin lic. iur. B. Pongracz Leimer</w:t>
      </w:r>
    </w:p>
    <w:p>
      <w:r>
        <w:t>Parteien</w:t>
      </w:r>
    </w:p>
    <w:p>
      <w:r>
        <w:t>A____</w:t>
      </w:r>
    </w:p>
    <w:p>
      <w:r>
        <w:t>[...]vertreten durch Dr. Yves Waldmann, Advokat, St. Johanns-Vorstadt 23, Postfach 1328, 4001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IV.2025.57</w:t>
      </w:r>
    </w:p>
    <w:p>
      <w:r>
        <w:t>Verfügung vom 3. April 2025</w:t>
      </w:r>
    </w:p>
    <w:p>
      <w:r>
        <w:t>Voraussetzungen für Neuanmeldung bei bereits verweigertem IV-Rentenanspruch; Anforderungen an das Glaubhaftmachen einer anspruchsbeeinflussenden Veränderung des Gesundheitszustandes</w:t>
      </w:r>
    </w:p>
    <w:p>
      <w:r>
        <w:t>Die Präsidentin                  Die a.o. Gerichtsschreiberin</w:t>
      </w:r>
    </w:p>
    <w:p>
      <w:r>
        <w:t>Dr. A. Pfleidererlic. iur. B. Pongracz Leimer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