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IV.2025.51 vom 19. März 2025</w:t>
      </w:r>
    </w:p>
    <w:p>
      <w:r>
        <w:t>Bs Sozialversicherungsgericht, 2025-03-19, DE</w:t>
      </w:r>
    </w:p>
    <w:p>
      <w:r>
        <w:rPr>
          <w:b/>
        </w:rPr>
        <w:t xml:space="preserve">Quelle: </w:t>
      </w:r>
      <w:r>
        <w:t>https://mcp.opencaselaw.ch/entscheid/bs_sozialversicherungsgericht_IV.2025.51</w:t>
      </w:r>
    </w:p>
    <w:p>
      <w:r>
        <w:t>FR: BS_SOZIALVERSICHERUNGSGERICHT IV.2025.51 du 19 mars 2025</w:t>
      </w:r>
    </w:p>
    <w:p>
      <w:r>
        <w:t>IT: BS_SOZIALVERSICHERUNGSGERICHT IV.2025.51 del 19 marzo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Januar 2026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Marco Albrecht, Advokat,</w:t>
      </w:r>
    </w:p>
    <w:p>
      <w:r>
        <w:t>Advokaturbüro Albrecht &amp; Riedo,</w:t>
      </w:r>
    </w:p>
    <w:p>
      <w:r>
        <w:t>Hauptstrasse 54, 4132 Muttenz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IV.2025.51</w:t>
      </w:r>
    </w:p>
    <w:p>
      <w:r>
        <w:t>Verfügung vom 19. März 2025</w:t>
      </w:r>
    </w:p>
    <w:p>
      <w:r>
        <w:t>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