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IV.2025.4 vom 13. November 2024</w:t>
      </w:r>
    </w:p>
    <w:p>
      <w:r>
        <w:t>Bs Sozialversicherungsgericht, 2024-11-13, DE</w:t>
      </w:r>
    </w:p>
    <w:p>
      <w:r>
        <w:rPr>
          <w:b/>
        </w:rPr>
        <w:t xml:space="preserve">Quelle: </w:t>
      </w:r>
      <w:r>
        <w:t>https://mcp.opencaselaw.ch/entscheid/bs_sozialversicherungsgericht_IV.2025.4</w:t>
      </w:r>
    </w:p>
    <w:p>
      <w:r>
        <w:t>FR: BS_SOZIALVERSICHERUNGSGERICHT IV.2025.4 du 13 novembre 2024</w:t>
      </w:r>
    </w:p>
    <w:p>
      <w:r>
        <w:t>IT: BS_SOZIALVERSICHERUNGSGERICHT IV.2025.4 del 13 novembre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vom2. Juli 2025</w:t>
      </w:r>
    </w:p>
    <w:p>
      <w:r>
        <w:t>Mitwirkende</w:t>
      </w:r>
    </w:p>
    <w:p>
      <w:r>
        <w:t>lic. iur. R. Schnyder (Vorsitz), Dr. med. W. Rühl, MLaw B. Fürbringer 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Yves Waldmann, Advokat, St. Johanns-Vorstadt 23, Postfach 1328,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IV.2025.4</w:t>
      </w:r>
    </w:p>
    <w:p>
      <w:r>
        <w:t>Verfügung vom 13. November 2024</w:t>
      </w:r>
    </w:p>
    <w:p>
      <w:r>
        <w:t>Zu Recht Invaliditätsgrad anhand der gemischten Methode berechnet und Rentenanspruch verneint;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