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IV.2025.15 vom 20. Dezember 2024</w:t>
      </w:r>
    </w:p>
    <w:p>
      <w:r>
        <w:t>Bs Sozialversicherungsgericht, 2024-12-20, DE</w:t>
      </w:r>
    </w:p>
    <w:p>
      <w:r>
        <w:rPr>
          <w:b/>
        </w:rPr>
        <w:t xml:space="preserve">Quelle: </w:t>
      </w:r>
      <w:r>
        <w:t>https://mcp.opencaselaw.ch/entscheid/bs_sozialversicherungsgericht_IV.2025.15</w:t>
      </w:r>
    </w:p>
    <w:p>
      <w:r>
        <w:t>FR: BS_SOZIALVERSICHERUNGSGERICHT IV.2025.15 du 20 décembre 2024</w:t>
      </w:r>
    </w:p>
    <w:p>
      <w:r>
        <w:t>IT: BS_SOZIALVERSICHERUNGSGERICHT IV.2025.15 del 20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2025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Sarah Brutschin, Advokatin,</w:t>
      </w:r>
    </w:p>
    <w:p>
      <w:r>
        <w:t>Picassoplatz 8, Postfach 330, 4010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IV.2025.15</w:t>
      </w:r>
    </w:p>
    <w:p>
      <w:r>
        <w:t>Verfügung vom 20. Dezember 2024</w:t>
      </w:r>
    </w:p>
    <w:p>
      <w:r>
        <w:t>Rente; Befristung</w:t>
      </w:r>
    </w:p>
    <w:p>
      <w:r>
        <w:t>Die Präsidentin    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