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IV.2024.6 vom 13. Juni 2024</w:t>
      </w:r>
    </w:p>
    <w:p>
      <w:r>
        <w:t>Bs Sozialversicherungsgericht, 2024-06-13, DE</w:t>
      </w:r>
    </w:p>
    <w:p>
      <w:r>
        <w:rPr>
          <w:b/>
        </w:rPr>
        <w:t xml:space="preserve">Quelle: </w:t>
      </w:r>
      <w:r>
        <w:t>https://mcp.opencaselaw.ch/entscheid/bs_sozialversicherungsgericht_IV.2024.6</w:t>
      </w:r>
    </w:p>
    <w:p>
      <w:r>
        <w:t>FR: BS_SOZIALVERSICHERUNGSGERICHT IV.2024.6 du 13 juin 2024</w:t>
      </w:r>
    </w:p>
    <w:p>
      <w:r>
        <w:t>IT: BS_SOZIALVERSICHERUNGSGERICHT IV.2024.6 del 13 giugno 2024</w:t>
      </w:r>
    </w:p>
    <w:p>
      <w:pPr>
        <w:pStyle w:val="Heading2"/>
      </w:pPr>
      <w:r>
        <w:t>Volltext</w:t>
      </w:r>
    </w:p>
    <w:p>
      <w:r>
        <w:t>Sozialversicherungsgericht</w:t>
      </w:r>
    </w:p>
    <w:p>
      <w:r>
        <w:t>des Kantons Basel-Stadt</w:t>
      </w:r>
    </w:p>
    <w:p>
      <w:r>
        <w:t>URTEIL</w:t>
      </w:r>
    </w:p>
    <w:p>
      <w:r>
        <w:t>vom 13. Juni 2024</w:t>
      </w:r>
    </w:p>
    <w:p>
      <w:r>
        <w:t>Mitwirkende</w:t>
      </w:r>
    </w:p>
    <w:p>
      <w:r>
        <w:t>Dr. G. Thomi (Vorsitz), C. Müller, Dr. phil.N. Bechtel</w:t>
      </w:r>
    </w:p>
    <w:p>
      <w:r>
        <w:t>und Gerichtsschreiberin MLaw N. Marbot</w:t>
      </w:r>
    </w:p>
    <w:p>
      <w:r>
        <w:t>Parteien</w:t>
      </w:r>
    </w:p>
    <w:p>
      <w:r>
        <w:t>A____</w:t>
      </w:r>
    </w:p>
    <w:p>
      <w:r>
        <w:t>[...]</w:t>
      </w:r>
    </w:p>
    <w:p>
      <w:r>
        <w:t>vertreten durch B____, [...]</w:t>
      </w:r>
    </w:p>
    <w:p>
      <w:r>
        <w:t>zusätzlich vertreten durch lic. iur. C____, Advokat, [...]</w:t>
      </w:r>
    </w:p>
    <w:p>
      <w:r>
        <w:t>Beschwerdeführer</w:t>
      </w:r>
    </w:p>
    <w:p>
      <w:r>
        <w:t>IV-Stelle Basel-Stadt</w:t>
      </w:r>
    </w:p>
    <w:p>
      <w:r>
        <w:t>Rechtsdienst, Aeschengraben 9, Postfach, 4002 Basel</w:t>
      </w:r>
    </w:p>
    <w:p>
      <w:r>
        <w:t>Beschwerdegegnerin</w:t>
      </w:r>
    </w:p>
    <w:p>
      <w:r>
        <w:t>Gegenstand</w:t>
      </w:r>
    </w:p>
    <w:p>
      <w:r>
        <w:t>IV.2024.6</w:t>
      </w:r>
    </w:p>
    <w:p>
      <w:r>
        <w:t>Verfügung vom 7. Dezember 2023</w:t>
      </w:r>
    </w:p>
    <w:p>
      <w:r>
        <w:t>a)Mit Beschwerde vom 10. Januar 2024 beantragt der Beschwerdeführer, es sei die Verfügung der Beschwerdegegnerin vom 7. Dezember 2023 vollumfänglich aufzuheben und es sei weiterhin eine Hilflosenentschädigung mittleren Grades auszurichten. In verfahrensrechtlicher Hinsicht verlangt er die Einräumung eines Replikrechts. Alles unter Kosten- und Entschädigungsfolge zu Lasten der Beschwerdegegnerin.</w:t>
      </w:r>
    </w:p>
    <w:p>
      <w:r>
        <w:t>b)Mit Beschwerdeantwort vom 7. März 2024 schliesst die Beschwerdegegnerin auf Abweisung der Beschwerde.</w:t>
      </w:r>
    </w:p>
    <w:p>
      <w:r>
        <w:t>c)Mit Replik vom 19. April 2024 hält der Beschwerdeführer vollumfänglich an den im ersten Schriftenwechsel gestellten Rechtsbegehren fest und reicht dem Gericht einen undatierten Auszug aus einem von der Stiftung E____ beantworteten Fragenkatalog (Replikbeilage [RB] 1), den IHP Abklärungsbericht der FAS vom 9. Mai 2023 (RB 2) und den Untermietvertrag des Beschwerdeführers vom 1. Januar 2017 (RB 3) ein.</w:t>
      </w:r>
    </w:p>
    <w:p>
      <w:r>
        <w:t>d)Mit Verfügung vom 22. April 2022 stellt der Instruktionsrichter der Beschwerdegegnerin die Eingabe des Beschwerdeführers samt Beilagenzur Kenntnis zu.</w:t>
      </w:r>
    </w:p>
    <w:p>
      <w:r>
        <w:t>Der Präsident                                                    Die Gerichtsschreiberin</w:t>
      </w:r>
    </w:p>
    <w:p>
      <w:r>
        <w:t>Dr. G. ThomiMLaw N. Marbot</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