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IV.2024.36 vom 29. Februar 2024</w:t>
      </w:r>
    </w:p>
    <w:p>
      <w:r>
        <w:t>Bs Sozialversicherungsgericht, 2024-02-29, DE</w:t>
      </w:r>
    </w:p>
    <w:p>
      <w:r>
        <w:rPr>
          <w:b/>
        </w:rPr>
        <w:t xml:space="preserve">Quelle: </w:t>
      </w:r>
      <w:r>
        <w:t>https://mcp.opencaselaw.ch/entscheid/bs_sozialversicherungsgericht_IV.2024.36</w:t>
      </w:r>
    </w:p>
    <w:p>
      <w:r>
        <w:t>FR: BS_SOZIALVERSICHERUNGSGERICHT IV.2024.36 du 29 février 2024</w:t>
      </w:r>
    </w:p>
    <w:p>
      <w:r>
        <w:t>IT: BS_SOZIALVERSICHERUNGSGERICHT IV.2024.36 del 29 febbraio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vom8. August 2024</w:t>
      </w:r>
    </w:p>
    <w:p>
      <w:r>
        <w:t>Mitwirkende</w:t>
      </w:r>
    </w:p>
    <w:p>
      <w:r>
        <w:t>Dr. G. Thomi (Vorsitz), C. Müller, S. Schenker</w:t>
      </w:r>
    </w:p>
    <w:p>
      <w:r>
        <w:t>und Gerichtsschreiberin Dr. B. Gruber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IV.2024.36</w:t>
      </w:r>
    </w:p>
    <w:p>
      <w:r>
        <w:t>Verfügung vom 29. Februar 2024</w:t>
      </w:r>
    </w:p>
    <w:p>
      <w:r>
        <w:t>Rentenrevision nach Art. 17 Abs. 1 ATSG; Beweiswert Arztberichte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