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IV.2024.25 vom 17. Juli 2024</w:t>
      </w:r>
    </w:p>
    <w:p>
      <w:r>
        <w:t>Bs Sozialversicherungsgericht, 2024-07-17, DE</w:t>
      </w:r>
    </w:p>
    <w:p>
      <w:r>
        <w:rPr>
          <w:b/>
        </w:rPr>
        <w:t xml:space="preserve">Quelle: </w:t>
      </w:r>
      <w:r>
        <w:t>https://mcp.opencaselaw.ch/entscheid/bs_sozialversicherungsgericht_IV.2024.25</w:t>
      </w:r>
    </w:p>
    <w:p>
      <w:r>
        <w:t>FR: BS_SOZIALVERSICHERUNGSGERICHT IV.2024.25 du 17 juillet 2024</w:t>
      </w:r>
    </w:p>
    <w:p>
      <w:r>
        <w:t>IT: BS_SOZIALVERSICHERUNGSGERICHT IV.2024.25 del 17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Juli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Gerichtsschreiber MLaw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IV.2024.25</w:t>
      </w:r>
    </w:p>
    <w:p>
      <w:r>
        <w:t>Die RAD Einschätzungenerfüllen die Anforderungen an eine beweiskräftige medizinische Erhebung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PfleidererMLaw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