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IV.2024.13 vom 1. Dezember 2023</w:t>
      </w:r>
    </w:p>
    <w:p>
      <w:r>
        <w:t>Bs Sozialversicherungsgericht, 2023-12-01, DE</w:t>
      </w:r>
    </w:p>
    <w:p>
      <w:r>
        <w:rPr>
          <w:b/>
        </w:rPr>
        <w:t xml:space="preserve">Quelle: </w:t>
      </w:r>
      <w:r>
        <w:t>https://mcp.opencaselaw.ch/entscheid/bs_sozialversicherungsgericht_IV.2024.13</w:t>
      </w:r>
    </w:p>
    <w:p>
      <w:r>
        <w:t>FR: BS_SOZIALVERSICHERUNGSGERICHT IV.2024.13 du 1 décembre 2023</w:t>
      </w:r>
    </w:p>
    <w:p>
      <w:r>
        <w:t>IT: BS_SOZIALVERSICHERUNGSGERICHT IV.2024.13 del 1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November 2024</w:t>
      </w:r>
    </w:p>
    <w:p>
      <w:r>
        <w:t>Mitwirkende</w:t>
      </w:r>
    </w:p>
    <w:p>
      <w:r>
        <w:t>Dr. A. Pfleiderer (Vorsitz), lic. iur. M. Prack Hoenen, Th. Aeschbach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IV.2024.13</w:t>
      </w:r>
    </w:p>
    <w:p>
      <w:r>
        <w:t>Zwischenverfügung vom 1. Dezember 2023</w:t>
      </w:r>
    </w:p>
    <w:p>
      <w:r>
        <w:t>Auf die Beschwerde gegen eine Zwischenverfügung betreffend die Anordnung eines Gutachtens wird eingetreten; Notwendigkeit und Zumutbarkeit der polydisziplinären Begutachtung bejaht; teilweise Gutheissung der Beschwerde</w:t>
      </w:r>
    </w:p>
    <w:p>
      <w:r>
        <w:t>Die Beschwerdegegnerin bezahlt dem Beschwerdeführer eine Parteientschädigung von Fr. Fr. 3'750.00 (inkl. Auslagen) zuzüglich Mehrwertsteuer von Fr. 303.75.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