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IV.2024.104 vom 25. Oktober 2024</w:t>
      </w:r>
    </w:p>
    <w:p>
      <w:r>
        <w:t>Bs Sozialversicherungsgericht, 2024-10-25, DE</w:t>
      </w:r>
    </w:p>
    <w:p>
      <w:r>
        <w:rPr>
          <w:b/>
        </w:rPr>
        <w:t xml:space="preserve">Quelle: </w:t>
      </w:r>
      <w:r>
        <w:t>https://mcp.opencaselaw.ch/entscheid/bs_sozialversicherungsgericht_IV.2024.104</w:t>
      </w:r>
    </w:p>
    <w:p>
      <w:r>
        <w:t>FR: BS_SOZIALVERSICHERUNGSGERICHT IV.2024.104 du 25 octobre 2024</w:t>
      </w:r>
    </w:p>
    <w:p>
      <w:r>
        <w:t>IT: BS_SOZIALVERSICHERUNGSGERICHT IV.2024.104 del 25 ottobre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März 2025</w:t>
      </w:r>
    </w:p>
    <w:p>
      <w:r>
        <w:t>Mitwirkende</w:t>
      </w:r>
    </w:p>
    <w:p>
      <w:r>
        <w:t>Dr. G. Thomi (Vorsitz), C. Müller, Dr. T. Fasnacht</w:t>
      </w:r>
    </w:p>
    <w:p>
      <w:r>
        <w:t>und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Advokat,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IV.2024.104</w:t>
      </w:r>
    </w:p>
    <w:p>
      <w:r>
        <w:t>Verfügung vom 25. Oktober 2024</w:t>
      </w:r>
    </w:p>
    <w:p>
      <w:r>
        <w:t>Invaliditätsgrad zu Unrecht anhand der gemischten Methode berechnet; Anspruch auf eine ganze IV-Rente; Gutheissung der Beschwerde</w:t>
      </w:r>
    </w:p>
    <w:p>
      <w:r>
        <w:t>Die Beschwerdegegnerin bezahlt der Beschwerdeführerin eine Parteientschädigung von Fr. 2'500.00 (inkl. Auslagen) zuzüglich Mehrwertsteuer von Fr. 202.50.</w:t>
      </w:r>
    </w:p>
    <w:p>
      <w:r>
        <w:t>Der Präsident                                                    Der Gerichtsschreiber</w:t>
      </w:r>
    </w:p>
    <w:p>
      <w:r>
        <w:t>Dr. G. ThomiDr.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