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IV.2023.97 vom 28. Juli 2023</w:t>
      </w:r>
    </w:p>
    <w:p>
      <w:r>
        <w:t>Bs Sozialversicherungsgericht, 2023-07-28, DE</w:t>
      </w:r>
    </w:p>
    <w:p>
      <w:r>
        <w:rPr>
          <w:b/>
        </w:rPr>
        <w:t xml:space="preserve">Quelle: </w:t>
      </w:r>
      <w:r>
        <w:t>https://mcp.opencaselaw.ch/entscheid/bs_sozialversicherungsgericht_IV.2023.97</w:t>
      </w:r>
    </w:p>
    <w:p>
      <w:r>
        <w:t>FR: BS_SOZIALVERSICHERUNGSGERICHT IV.2023.97 du 28 juillet 2023</w:t>
      </w:r>
    </w:p>
    <w:p>
      <w:r>
        <w:t>IT: BS_SOZIALVERSICHERUNGSGERICHT IV.2023.97 del 28 luglio 2023</w:t>
      </w:r>
    </w:p>
    <w:p>
      <w:pPr>
        <w:pStyle w:val="Heading2"/>
      </w:pPr>
      <w:r>
        <w:t>Volltext</w:t>
      </w:r>
    </w:p>
    <w:p>
      <w:r>
        <w:t>Sozialversicherungsgericht</w:t>
      </w:r>
    </w:p>
    <w:p>
      <w:r>
        <w:t>des Kantons Basel-Stadt</w:t>
      </w:r>
    </w:p>
    <w:p>
      <w:r>
        <w:t>URTEIL</w:t>
      </w:r>
    </w:p>
    <w:p>
      <w:r>
        <w:t>vom12. März 2024</w:t>
      </w:r>
    </w:p>
    <w:p>
      <w:r>
        <w:t>Mitwirkende</w:t>
      </w:r>
    </w:p>
    <w:p>
      <w:r>
        <w:t>lic. iur. R. Schnyder (Vorsitz), C. Müller, Dr. med. R. von Aarburg</w:t>
      </w:r>
    </w:p>
    <w:p>
      <w:r>
        <w:t>und Gerichtsschreiberin lic. iur. H. Hofer</w:t>
      </w:r>
    </w:p>
    <w:p>
      <w:r>
        <w:t>Parteien</w:t>
      </w:r>
    </w:p>
    <w:p>
      <w:r>
        <w:t>A____</w:t>
      </w:r>
    </w:p>
    <w:p>
      <w:r>
        <w:t>vertreten durch lic. iur. B____</w:t>
      </w:r>
    </w:p>
    <w:p>
      <w:r>
        <w:t>Beschwerdeführerin</w:t>
      </w:r>
    </w:p>
    <w:p>
      <w:r>
        <w:t>IV-Stelle Basel-Stadt</w:t>
      </w:r>
    </w:p>
    <w:p>
      <w:r>
        <w:t>Rechtsdienst, Aeschengraben 9, Postfach, 4002 Basel</w:t>
      </w:r>
    </w:p>
    <w:p>
      <w:r>
        <w:t>Beschwerdegegnerin</w:t>
      </w:r>
    </w:p>
    <w:p>
      <w:r>
        <w:t>Gegenstand</w:t>
      </w:r>
    </w:p>
    <w:p>
      <w:r>
        <w:t>IV.2023.97</w:t>
      </w:r>
    </w:p>
    <w:p>
      <w:r>
        <w:t>Verfügung vom 28. Juli 2023</w:t>
      </w:r>
    </w:p>
    <w:p>
      <w:r>
        <w:t>Hilfsmittelversorgung mit mikroprozessorgesteuertem Kniegelenk (C-Leg)</w:t>
      </w:r>
    </w:p>
    <w:p>
      <w:r>
        <w:t>6.1.Aus den obenstehenden Erwägungen folgt, dass die angefochtene Verfügung vom 28. Juli 2023 in Gutheissung der Beschwerde aufzuheben und die Beschwerdegegnerin zu verurteilen ist, die Kosten für das «C-Leg 4» zu übernehmen.</w:t>
      </w:r>
    </w:p>
    <w:p>
      <w:r>
        <w:t>6.2.Die ordentlichen Kosten bestehend aus einer Gebühr von Fr. 800.-- (Art. 69 Abs. 1bisIVG) sind bei diesem Ausgang des Verfahrens der Beschwerdegegnerin aufzuerlegen.</w:t>
      </w:r>
    </w:p>
    <w:p>
      <w:r>
        <w:t>6.3.Die Beschwerdegegnerin hat der durch lic. iur. B____ vertretenen und obsiegenden Beschwerdeführerin eine Parteientschädigung auszurichten. Das Sozialversicherungsgericht spricht im Sinne einer Richtlinie bei Fällen mit durchschnittlichem Schwierigkeitsgrad und doppeltem Schriftenwechsel bei vollem Obsiegen und der Verbeiständung durch eine qualifizierte Vertretung eine Parteientschädigung von Fr. 3'000.-- zuzüglich Mehrwertsteuer, wovon Fr. 154.-- (7.7%) entfallend auf 2/3 der Entschädigung für die Bemühungen im Jahr 2023 und Fr. 81.-- (8.1%) auf die restliche Pauschale, entsprechend dem im Jahr 2024 getätigten Aufwand im Zusammenhang mit dem Verfassen der Replik.</w:t>
      </w:r>
    </w:p>
    <w:p>
      <w:r>
        <w:t>Die Präsidentin                                                  Die Gerichtsschreiberin</w:t>
      </w:r>
    </w:p>
    <w:p>
      <w:r>
        <w:t>lic. iur. R. Schnyderlic. iur. H. Hofer</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