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IV.2023.79 vom 6. Juni 2023</w:t>
      </w:r>
    </w:p>
    <w:p>
      <w:r>
        <w:t>Bs Sozialversicherungsgericht, 2023-06-06, DE</w:t>
      </w:r>
    </w:p>
    <w:p>
      <w:r>
        <w:rPr>
          <w:b/>
        </w:rPr>
        <w:t xml:space="preserve">Quelle: </w:t>
      </w:r>
      <w:r>
        <w:t>https://mcp.opencaselaw.ch/entscheid/bs_sozialversicherungsgericht_IV.2023.79</w:t>
      </w:r>
    </w:p>
    <w:p>
      <w:r>
        <w:t>FR: BS_SOZIALVERSICHERUNGSGERICHT IV.2023.79 du 6 juin 2023</w:t>
      </w:r>
    </w:p>
    <w:p>
      <w:r>
        <w:t>IT: BS_SOZIALVERSICHERUNGSGERICHT IV.2023.79 del 6 giugno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vom21. Dezember 2023</w:t>
      </w:r>
    </w:p>
    <w:p>
      <w:r>
        <w:t>Mitwirkende</w:t>
      </w:r>
    </w:p>
    <w:p>
      <w:r>
        <w:t>lic. iur. R. Schnyder (Vorsitz), MLaw A. Zalad, Dr. med. F. W. Eymann 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Advokatin,</w:t>
      </w:r>
    </w:p>
    <w:p>
      <w:r>
        <w:t>[...]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Stiftung Auffangeinrichtung BVG</w:t>
      </w:r>
    </w:p>
    <w:p>
      <w:r>
        <w:t>Risikoversicherung, Postfach, 8050 Zürich</w:t>
      </w:r>
    </w:p>
    <w:p>
      <w:r>
        <w:t>Beigeladene</w:t>
      </w:r>
    </w:p>
    <w:p>
      <w:r>
        <w:t>Gegenstand</w:t>
      </w:r>
    </w:p>
    <w:p>
      <w:r>
        <w:t>IV.2023.79</w:t>
      </w:r>
    </w:p>
    <w:p>
      <w:r>
        <w:t>Verfügung vom 6. Juni 2023</w:t>
      </w:r>
    </w:p>
    <w:p>
      <w:r>
        <w:t>Rente</w:t>
      </w:r>
    </w:p>
    <w:p>
      <w:r>
        <w:t>Die Präsidentin                                                  Die Gerichtsschreiberin</w:t>
      </w:r>
    </w:p>
    <w:p>
      <w:r>
        <w:t>lic. iur. R. Schnyderlic.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