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IV.2023.67 vom 17. November 2023</w:t>
      </w:r>
    </w:p>
    <w:p>
      <w:r>
        <w:t>Bs Sozialversicherungsgericht, 2023-11-17, DE</w:t>
      </w:r>
    </w:p>
    <w:p>
      <w:r>
        <w:rPr>
          <w:b/>
        </w:rPr>
        <w:t xml:space="preserve">Quelle: </w:t>
      </w:r>
      <w:r>
        <w:t>https://mcp.opencaselaw.ch/entscheid/bs_sozialversicherungsgericht_IV.2023.67</w:t>
      </w:r>
    </w:p>
    <w:p>
      <w:r>
        <w:t>FR: BS_SOZIALVERSICHERUNGSGERICHT IV.2023.67 du 17 novembre 2023</w:t>
      </w:r>
    </w:p>
    <w:p>
      <w:r>
        <w:t>IT: BS_SOZIALVERSICHERUNGSGERICHT IV.2023.67 del 17 novembre 2023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17. November 2023</w:t>
      </w:r>
    </w:p>
    <w:p>
      <w:r>
        <w:t>Mitwirkende</w:t>
      </w:r>
    </w:p>
    <w:p>
      <w:r>
        <w:t>lic. iur. R. Schnyder (Vorsitz), P. Kaderli, Dr. med. F. W. Eymann</w:t>
      </w:r>
    </w:p>
    <w:p>
      <w:r>
        <w:t>und Gerichtsschreiberin MLaw N. Marbot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Dr. B____, Advokat, 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IV.2023.67</w:t>
      </w:r>
    </w:p>
    <w:p>
      <w:r>
        <w:t>Verfügung vom 17. Mai 2023</w:t>
      </w:r>
    </w:p>
    <w:p>
      <w:r>
        <w:t>Die Präsidentin                                                  Die Gerichtsschreiberin</w:t>
      </w:r>
    </w:p>
    <w:p>
      <w:r>
        <w:t>lic. iur. R. SchnyderMLaw N. Marbot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 Die Beschwerdeschrift ist in einer Amtssprache abzufassen und hat die Begehren, deren Begründung mit Angabe der Beweismittel und die Unterschrift zu enthalten;</w:t>
      </w:r>
    </w:p>
    <w:p>
      <w:r>
        <w:t>b)           in der Begründung ist in gedrängter Form darzulegen, inwiefern der angefochtene Entscheid Recht verletzt;</w:t>
      </w:r>
    </w:p>
    <w:p>
      <w:r>
        <w:t>c)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