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IV.2023.19 vom 4. Januar 2023</w:t>
      </w:r>
    </w:p>
    <w:p>
      <w:r>
        <w:t>Bs Sozialversicherungsgericht, 2023-01-04, DE</w:t>
      </w:r>
    </w:p>
    <w:p>
      <w:r>
        <w:rPr>
          <w:b/>
        </w:rPr>
        <w:t xml:space="preserve">Quelle: </w:t>
      </w:r>
      <w:r>
        <w:t>https://mcp.opencaselaw.ch/entscheid/bs_sozialversicherungsgericht_IV.2023.19</w:t>
      </w:r>
    </w:p>
    <w:p>
      <w:r>
        <w:t>FR: BS_SOZIALVERSICHERUNGSGERICHT IV.2023.19 du 4 janvier 2023</w:t>
      </w:r>
    </w:p>
    <w:p>
      <w:r>
        <w:t>IT: BS_SOZIALVERSICHERUNGSGERICHT IV.2023.19 del 4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IV.2023.19</w:t>
      </w:r>
    </w:p>
    <w:p>
      <w:r>
        <w:t>Verfügung vom 4. Januar 2023</w:t>
      </w:r>
    </w:p>
    <w:p>
      <w:r>
        <w:t>Beschwerde abgewiesen. Kein Anspruch auf Umschulung.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