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IV.2023.111 vom 29. September 2023</w:t>
      </w:r>
    </w:p>
    <w:p>
      <w:r>
        <w:t>Bs Sozialversicherungsgericht, 2023-09-29, DE</w:t>
      </w:r>
    </w:p>
    <w:p>
      <w:r>
        <w:rPr>
          <w:b/>
        </w:rPr>
        <w:t xml:space="preserve">Quelle: </w:t>
      </w:r>
      <w:r>
        <w:t>https://mcp.opencaselaw.ch/entscheid/bs_sozialversicherungsgericht_IV.2023.111</w:t>
      </w:r>
    </w:p>
    <w:p>
      <w:r>
        <w:t>FR: BS_SOZIALVERSICHERUNGSGERICHT IV.2023.111 du 29 septembre 2023</w:t>
      </w:r>
    </w:p>
    <w:p>
      <w:r>
        <w:t>IT: BS_SOZIALVERSICHERUNGSGERICHT IV.2023.111 del 29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Mai 2024</w:t>
      </w:r>
    </w:p>
    <w:p>
      <w:r>
        <w:t>Mitwirkende</w:t>
      </w:r>
    </w:p>
    <w:p>
      <w:r>
        <w:t>lic. iur. R. Schnyder (Vorsitz), Dr. med. R. von Aarburg, lic. iur. S. Bammatter-Glättliund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IV.2023.111</w:t>
      </w:r>
    </w:p>
    <w:p>
      <w:r>
        <w:t>Verfügung vom 29. September 2023Zweifel an der Zuverlässigkeit und Schlüssigkeit der ärztlichen Feststellungen des RAD zur Frage, ob eine revisionsbegründende Änderung des Gesundheitszustands vorliegt; Rückweisung zur weiteren Abklärung</w:t>
      </w:r>
    </w:p>
    <w:p>
      <w:r>
        <w:t>Die Beschwerdegegnerin bezahlt der Beschwerdeführerin eine Parteientschädigung von Fr. 4500.00 (inkl. Auslagen) zuzüglich Mehrwertsteuer von Fr. 349.50.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