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IV.2023.108 vom 8. September 2023</w:t>
      </w:r>
    </w:p>
    <w:p>
      <w:r>
        <w:t>Bs Sozialversicherungsgericht, 2023-09-08, DE</w:t>
      </w:r>
    </w:p>
    <w:p>
      <w:r>
        <w:rPr>
          <w:b/>
        </w:rPr>
        <w:t xml:space="preserve">Quelle: </w:t>
      </w:r>
      <w:r>
        <w:t>https://mcp.opencaselaw.ch/entscheid/bs_sozialversicherungsgericht_IV.2023.108</w:t>
      </w:r>
    </w:p>
    <w:p>
      <w:r>
        <w:t>FR: BS_SOZIALVERSICHERUNGSGERICHT IV.2023.108 du 8 septembre 2023</w:t>
      </w:r>
    </w:p>
    <w:p>
      <w:r>
        <w:t>IT: BS_SOZIALVERSICHERUNGSGERICHT IV.2023.108 del 8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Februar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IV.2023.108</w:t>
      </w:r>
    </w:p>
    <w:p>
      <w:r>
        <w:t>Verfügung vom 8. September 2023</w:t>
      </w:r>
    </w:p>
    <w:p>
      <w:r>
        <w:t>Rechtsmässigkeit der vorsorglichen Einstellung einer Invalidenrente (vorsorgliche Massnahme gemäss Art. 52a ATSG) bejaht; Beschwerde abgewiesen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