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IV.2023.10 vom 14. Dezember 2022</w:t>
      </w:r>
    </w:p>
    <w:p>
      <w:r>
        <w:t>Bs Sozialversicherungsgericht, 2022-12-14, DE</w:t>
      </w:r>
    </w:p>
    <w:p>
      <w:r>
        <w:rPr>
          <w:b/>
        </w:rPr>
        <w:t xml:space="preserve">Quelle: </w:t>
      </w:r>
      <w:r>
        <w:t>https://mcp.opencaselaw.ch/entscheid/bs_sozialversicherungsgericht_IV.2023.10</w:t>
      </w:r>
    </w:p>
    <w:p>
      <w:r>
        <w:t>FR: BS_SOZIALVERSICHERUNGSGERICHT IV.2023.10 du 14 décembre 2022</w:t>
      </w:r>
    </w:p>
    <w:p>
      <w:r>
        <w:t>IT: BS_SOZIALVERSICHERUNGSGERICHT IV.2023.10 del 14 dicembre 2022</w:t>
      </w:r>
    </w:p>
    <w:p>
      <w:pPr>
        <w:pStyle w:val="Heading2"/>
      </w:pPr>
      <w:r>
        <w:t>Volltext</w:t>
      </w:r>
    </w:p>
    <w:p>
      <w:r>
        <w:t>Sozialversicherungsgericht</w:t>
      </w:r>
    </w:p>
    <w:p>
      <w:r>
        <w:t>des Kantons Basel-Stadt</w:t>
      </w:r>
    </w:p>
    <w:p>
      <w:r>
        <w:t>URTEIL</w:t>
      </w:r>
    </w:p>
    <w:p>
      <w:r>
        <w:t>vom6. Juli 2023</w:t>
      </w:r>
    </w:p>
    <w:p>
      <w:r>
        <w:t>Mitwirkende</w:t>
      </w:r>
    </w:p>
    <w:p>
      <w:r>
        <w:t>lic. iur. R. Schnyder (Vorsitz), C. Müller, P. Kaderli</w:t>
      </w:r>
    </w:p>
    <w:p>
      <w:r>
        <w:t>und Gerichtsschreiberin lic. iur. H. Hofer</w:t>
      </w:r>
    </w:p>
    <w:p>
      <w:r>
        <w:t>Parteien</w:t>
      </w:r>
    </w:p>
    <w:p>
      <w:r>
        <w:t>A____</w:t>
      </w:r>
    </w:p>
    <w:p>
      <w:r>
        <w:t>vertreten durch B____</w:t>
      </w:r>
    </w:p>
    <w:p>
      <w:r>
        <w:t>Beschwerdeführerin</w:t>
      </w:r>
    </w:p>
    <w:p>
      <w:r>
        <w:t>IV-Stelle Basel-Stadt</w:t>
      </w:r>
    </w:p>
    <w:p>
      <w:r>
        <w:t>Rechtsdienst, Aeschengraben 9, Postfach, 4002 Basel</w:t>
      </w:r>
    </w:p>
    <w:p>
      <w:r>
        <w:t>Beschwerdegegnerin</w:t>
      </w:r>
    </w:p>
    <w:p>
      <w:r>
        <w:t>C____</w:t>
      </w:r>
    </w:p>
    <w:p>
      <w:r>
        <w:t>Beigeladene</w:t>
      </w:r>
    </w:p>
    <w:p>
      <w:r>
        <w:t>Gegenstand</w:t>
      </w:r>
    </w:p>
    <w:p>
      <w:r>
        <w:t>IV.2023.10</w:t>
      </w:r>
    </w:p>
    <w:p>
      <w:r>
        <w:t>Verfügung vom 14. Dezember 2022</w:t>
      </w:r>
    </w:p>
    <w:p>
      <w:r>
        <w:t>Befristete Rente gestützt auf MEDAS-Gutachten bestätigt.</w:t>
      </w:r>
    </w:p>
    <w:p>
      <w:r>
        <w:t>5.1.2. Die von einer qualifizierten Person durchgeführte Abklärung vor Ort stellt für gewöhnlich die geeignete und genügende Vorkehr zur Bestimmung der gesundheitlichen Einschränkung im Haushalt dar (Urteil des BGer 9C_201/2011 vom 5. September 2011 E. 2). Für den Beweiswert eines Berichtes über die Abklärung im Haushalt einer versicherten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Urteil des BGer I 733/03 vom 6. April 2004 E. 5.1.2).</w:t>
      </w:r>
    </w:p>
    <w:p>
      <w:r>
        <w:t>5.1.3. Im Hinblick auf die Rentenprüfung fand am 21. Januar 2021 eine entsprechende Abklärung im Haushalt der Beschwerdeführerin statt, die eine Einschränkung von 10% ergab (vgl. den Abklärungsbericht vom 25. Januar 2021, IV-Akte 148). Der RAD ist diesem Grad der Beeinträchtigung mit seiner Stellungnahme vom 15. Februar 2022 (IV-Akte 184) gefolgt. Dabei hat er der Tatsache bereits Rechnung getragen, dass es sich bei der Haushalttätigkeit nicht um eine leidensangepasste Tätigkeit handelt. Die Einschränkung von 10%, welche von den Parteien nicht in Frage gestellt wird, bildet Grundlage des angefochtenen Entscheids. Es besteht auch nach der Anpassung des Leistungsprofils und der Reduktion der zumutbaren Leistungsperformance auf 20% keine Veranlassung, von dieser Einschränkung abzuweichen. Die Bemessung der Einschränkung im Haushalt erfolgt bekanntlich jeweils unter Berücksichtigung der Schadenminderungspflicht, die auch die Unterstützung durch Verwandte umfasst, sowie aufgrund der Tatsache, dass sich die Arbeit im Haushalt einteilen lässt und in Etappen ausgeführt werden kann. Es bleibt demnach bei der 10%igen Einschränkung im Haushalt.</w:t>
      </w:r>
    </w:p>
    <w:p>
      <w:r>
        <w:t>Die Präsidentin                                                  Die Gerichtsschreiberin</w:t>
      </w:r>
    </w:p>
    <w:p>
      <w:r>
        <w:t>lic. iur. R. Schnyderlic. iur. H. Hofer</w:t>
      </w:r>
    </w:p>
    <w:p>
      <w:r>
        <w:t>Gegen diesen Entscheid kann innert 30 Tagen nach der Eröffnung der vollständigen Ausfertigung beim Bundesgericht Beschwerde eingereicht werden (Art. 100 Abs. 1 des Bundesgesetzes vom 17. Juni 2005 über das Bundesgericht [Bundesgerichtsgesetz, BGG]). Die Beschwerdefrist kann nicht erstreckt werden (Art. 47 Abs. 1 BGG). Die Beschwerdegründe sind in Art. 95 ff. BGG geregelt.</w:t>
      </w:r>
    </w:p>
    <w:p>
      <w:r>
        <w:t>Die Beschwerdeschrift ist dem Bundesgericht, Schweizerhofquai 6, 6004 Luzern, in dreifacher Ausfertigung zuzustellen. Die Beschwerdeschrift hat den Anforderungen gemäss Art. 42 BGG zu genügen; zu beachten ist dabei insbesondere:</w:t>
      </w:r>
    </w:p>
    <w:p>
      <w:r>
        <w:t>a)           Die Beschwerdeschrift ist in einer Amtssprache abzufassen und hat die Begehren, deren Begründung mit Angabe der Beweismittel und die Unterschrift zu enthalten;</w:t>
      </w:r>
    </w:p>
    <w:p>
      <w:r>
        <w:t>b)           in der Begründung ist in gedrängter Form darzulegen, inwiefern der angefochtene Entscheid Recht verletzt;</w:t>
      </w:r>
    </w:p>
    <w:p>
      <w:r>
        <w:t>c)           die Urkunden, auf die sich die Partei als Beweismittel beruft, sind beizulegen, soweit die Partei sie in Händen hat, ebenso der angefochtene Entscheid.</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