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IV.2022.90 vom 21. Juli 2022</w:t>
      </w:r>
    </w:p>
    <w:p>
      <w:r>
        <w:t>Bs Sozialversicherungsgericht, 2022-07-21, DE</w:t>
      </w:r>
    </w:p>
    <w:p>
      <w:r>
        <w:rPr>
          <w:b/>
        </w:rPr>
        <w:t xml:space="preserve">Quelle: </w:t>
      </w:r>
      <w:r>
        <w:t>https://mcp.opencaselaw.ch/entscheid/bs_sozialversicherungsgericht_IV.2022.90</w:t>
      </w:r>
    </w:p>
    <w:p>
      <w:r>
        <w:t>FR: BS_SOZIALVERSICHERUNGSGERICHT IV.2022.90 du 21 juillet 2022</w:t>
      </w:r>
    </w:p>
    <w:p>
      <w:r>
        <w:t>IT: BS_SOZIALVERSICHERUNGSGERICHT IV.2022.90 del 21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IV.2022.90</w:t>
      </w:r>
    </w:p>
    <w:p>
      <w:r>
        <w:t>Verfügung vom 21. Juli 2022</w:t>
      </w:r>
    </w:p>
    <w:p>
      <w:r>
        <w:t>Beschwerde abgewiesen. Kosten für medizinische Massnahmen sind vorliegend von der Krankenkasse und nicht von der Invalidenversicherung zu übernehmen.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