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IV.2022.45 vom 22. März 2022</w:t>
      </w:r>
    </w:p>
    <w:p>
      <w:r>
        <w:t>Bs Sozialversicherungsgericht, 2022-03-22, DE</w:t>
      </w:r>
    </w:p>
    <w:p>
      <w:r>
        <w:rPr>
          <w:b/>
        </w:rPr>
        <w:t xml:space="preserve">Quelle: </w:t>
      </w:r>
      <w:r>
        <w:t>https://mcp.opencaselaw.ch/entscheid/bs_sozialversicherungsgericht_IV.2022.45</w:t>
      </w:r>
    </w:p>
    <w:p>
      <w:r>
        <w:t>FR: BS_SOZIALVERSICHERUNGSGERICHT IV.2022.45 du 22 mars 2022</w:t>
      </w:r>
    </w:p>
    <w:p>
      <w:r>
        <w:t>IT: BS_SOZIALVERSICHERUNGSGERICHT IV.2022.45 del 22 marzo 2022</w:t>
      </w:r>
    </w:p>
    <w:p>
      <w:pPr>
        <w:pStyle w:val="Heading2"/>
      </w:pPr>
      <w:r>
        <w:t>Volltext</w:t>
      </w:r>
    </w:p>
    <w:p>
      <w:r>
        <w:t>Sozialversicherungsgericht</w:t>
      </w:r>
    </w:p>
    <w:p>
      <w:r>
        <w:t>des Kantons Basel-Stadt</w:t>
      </w:r>
    </w:p>
    <w:p>
      <w:r>
        <w:t>URTEIL</w:t>
      </w:r>
    </w:p>
    <w:p>
      <w:r>
        <w:t>vom22. September 2022</w:t>
      </w:r>
    </w:p>
    <w:p>
      <w:r>
        <w:t>Mitwirkende</w:t>
      </w:r>
    </w:p>
    <w:p>
      <w:r>
        <w:t>Dr. A. Pfleiderer (Vorsitz), Dr. iur. T. Fasnacht, S. Schenker</w:t>
      </w:r>
    </w:p>
    <w:p>
      <w:r>
        <w:t>und Gerichtsschreiberin MLaw N. Marbot</w:t>
      </w:r>
    </w:p>
    <w:p>
      <w:r>
        <w:t>Parteien</w:t>
      </w:r>
    </w:p>
    <w:p>
      <w:r>
        <w:t>A____</w:t>
      </w:r>
    </w:p>
    <w:p>
      <w:r>
        <w:t>[...]</w:t>
      </w:r>
    </w:p>
    <w:p>
      <w:r>
        <w:t>vertreten durch lic. iur. B____, [...]</w:t>
      </w:r>
    </w:p>
    <w:p>
      <w:r>
        <w:t>Beschwerdeführer</w:t>
      </w:r>
    </w:p>
    <w:p>
      <w:r>
        <w:t>IV-Stelle Basel-Stadt</w:t>
      </w:r>
    </w:p>
    <w:p>
      <w:r>
        <w:t>Rechtsdienst, Aeschengraben 9, Postfach, 4002 Basel</w:t>
      </w:r>
    </w:p>
    <w:p>
      <w:r>
        <w:t>Beschwerdegegnerin</w:t>
      </w:r>
    </w:p>
    <w:p>
      <w:r>
        <w:t>Gegenstand</w:t>
      </w:r>
    </w:p>
    <w:p>
      <w:r>
        <w:t>IV.2022.45</w:t>
      </w:r>
    </w:p>
    <w:p>
      <w:r>
        <w:t>Verfügung vom 22. März 2022</w:t>
      </w:r>
    </w:p>
    <w:p>
      <w:r>
        <w:t>Beschwerde wird gutgeheissen. Medizinische Aktenlage ungenügend abgeklärt.</w:t>
      </w:r>
    </w:p>
    <w:p>
      <w:r>
        <w:t>5.45.4.1. In diagnostischerHinsichtergibtsichim Beurteilungszeitraumausder massgeblichenmedizinischenAktenlagekeineVeränderung der gesundheitlichenSituation desBeschwerdeführers aussomatischerSicht.Auch bildgebend zeigtesichim Vergleich zumRöntgender LWS inzweiEbenen vom 21. Juli 2021 einestabileund somit vergleichbareSituation(vgl. 1V-Akten42,S: 28 und66,S. 3). Diesschliesst indeseinerevisionsrechtlichrelevante Veränderungnichtvonvornehereinaus (vgl. UrteildesBundesgerichts9C_810/2016vom 31. Januar 2017 E. 3.3). DievorliegendenBerichte, namentlich der BerichtvonPD Dr. med. F____ vom 25. Juli 2021 und jener des RADvom15. Dezember 2021,sprechensich allerdings nicht (hinreichend) darüberaus,weshalb im Vergleich zur früheren Beurteilung eine effektive Veränderungeingetretensein soll. Dr. med. G____ hältlediglichfest, der Gesundheitszustandhabe sich zwischenzeitlichgebessert und die im Bericht vom 9. März 2021 angegebene 70%ige Arbeitsfähigkeit füreineadaptierte Tätigkeit liege nun vor. Aus der mit Bericht vom 25. Juli 2021vonderBehandlerin beschriebenenklaren Verbesserung der Fehlhaltungkannjedenfalls-entgegenderAnsichtdes RAD-unmittelbarkeine Verbesserung der Arbeitsfähigkeit im Vergleichsintervall abgeleitet werden,da nichtdargetan wirdinwieweitsichdieHaltungskorrektur funktional auf die Arbeitsfähigkeit desBeschwerdeführersauswirkt. Insgesamt ist der medizinischenAktenlagenichtzu entnehmen,inwieweit sich die funktionellenAuswirkungen der gesundheitlichenBefundeimUnterschiedzur Verfügung vom 18. Juni 2021 verändert haben (vgl.Urteil desBundesgerichts8C_889/2015vom 29. September 2016 E. 3.2). DenärztlichenEinschätzungen kanndaherinsgesamtfürdie Belange derRentenrevision keingenügender Beweiswert zukommen (Urteil des Bundesgerichts8C_289/2019vom 18. September2019E. 3.2, bestätigt in9C_26/2022vom30.Mai 2022E. 4),wobei diezu beurteilendenBerichte bereitsin grundsätzlicherWeiseden höchstrichterlichen Anforderungen anmedizinischeExpertisen nichtgenügen(vgl. E. 4.2. hiervor). Es sindweitereAbklärungen in Form eines orthopädischen Gutachtens vorzunehmen (vgl. Urteil des Bundesgerichts8C_151/2019vom 20. August 2019 E. 6.2).</w:t>
      </w:r>
    </w:p>
    <w:p>
      <w:r>
        <w:t>5.5.ZusammenfassendIst daher festzuhalten, dass sich die vorliegende medizinische Aktenlagenichthinreichend darüber ausspricht,inwiefernim Vergleichzur früherenBeurteilunggemässVerfügung vom 18. Juni 2021 eineeffektiveVeränderung desGesundheitszustandeseingetreten ist (vgl. UrteildesBundesgerichts9C_26/2022vom30.Mai 2022E. 4). Es sind daherzurBeantwortung der entscheidrelevantenFragen ergänzendeAbklärungen in Form einer bidisziplinären Begutachtenin den Fachrichtungen Orthopädie und Psychiatrie vorzunehmen.</w:t>
      </w:r>
    </w:p>
    <w:p>
      <w:r>
        <w:t>Die Präsidentin                                                         Die Gerichtsschreiberin</w:t>
      </w:r>
    </w:p>
    <w:p>
      <w:r>
        <w:t>Dr. A. PfleidererMLaw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