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IV.2022.44 vom 20. September 2022</w:t>
      </w:r>
    </w:p>
    <w:p>
      <w:r>
        <w:t>Bs Sozialversicherungsgericht, 2022-09-20, DE</w:t>
      </w:r>
    </w:p>
    <w:p>
      <w:r>
        <w:rPr>
          <w:b/>
        </w:rPr>
        <w:t xml:space="preserve">Quelle: </w:t>
      </w:r>
      <w:r>
        <w:t>https://mcp.opencaselaw.ch/entscheid/bs_sozialversicherungsgericht_IV.2022.44</w:t>
      </w:r>
    </w:p>
    <w:p>
      <w:r>
        <w:t>FR: BS_SOZIALVERSICHERUNGSGERICHT IV.2022.44 du 20 septembre 2022</w:t>
      </w:r>
    </w:p>
    <w:p>
      <w:r>
        <w:t>IT: BS_SOZIALVERSICHERUNGSGERICHT IV.2022.44 del 20 settembre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September 2022</w:t>
      </w:r>
    </w:p>
    <w:p>
      <w:r>
        <w:t>Mitwirkende</w:t>
      </w:r>
    </w:p>
    <w:p>
      <w:r>
        <w:t>Dr. G. Thomi (Vorsitz), lic. phil. D. Borer, Dr. med. F. W. Eymann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IV.2022.44 und IV.2022.52</w:t>
      </w:r>
    </w:p>
    <w:p>
      <w:r>
        <w:t>Verfügungen vom 1. April 2022 und vom 29. April 2022</w:t>
      </w:r>
    </w:p>
    <w:p>
      <w:r>
        <w:t>Beweiskraft bidisziplinärer Begutachtungen bestätigt. In casu Weiterleistung der Rente an die über 55-jährige Versicherte, die bereits mindestens 15 Jahre lang eine Invalidenrente bezogen hatte..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