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IV.2022.20 vom 17. Dezember 2021</w:t>
      </w:r>
    </w:p>
    <w:p>
      <w:r>
        <w:t>Bs Sozialversicherungsgericht, 2021-12-17, DE</w:t>
      </w:r>
    </w:p>
    <w:p>
      <w:r>
        <w:rPr>
          <w:b/>
        </w:rPr>
        <w:t xml:space="preserve">Quelle: </w:t>
      </w:r>
      <w:r>
        <w:t>https://mcp.opencaselaw.ch/entscheid/bs_sozialversicherungsgericht_IV.2022.20</w:t>
      </w:r>
    </w:p>
    <w:p>
      <w:r>
        <w:t>FR: BS_SOZIALVERSICHERUNGSGERICHT IV.2022.20 du 17 décembre 2021</w:t>
      </w:r>
    </w:p>
    <w:p>
      <w:r>
        <w:t>IT: BS_SOZIALVERSICHERUNGSGERICHT IV.2022.20 del 17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2022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IV.2022.20</w:t>
      </w:r>
    </w:p>
    <w:p>
      <w:r>
        <w:t>Verfügung vom 17. Dezember 2021</w:t>
      </w:r>
    </w:p>
    <w:p>
      <w:r>
        <w:t>Rentenrevision. Gleich wie bei ursprünglicher Rentenverfügung ist bei der Rentenrevision die Invaliditätsschätzung gestützt auf einen Prozentvergleich vorzunehmen.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