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IV.2022.103 vom 26. September 2022</w:t>
      </w:r>
    </w:p>
    <w:p>
      <w:r>
        <w:t>Bs Sozialversicherungsgericht, 2022-09-26, DE</w:t>
      </w:r>
    </w:p>
    <w:p>
      <w:r>
        <w:rPr>
          <w:b/>
        </w:rPr>
        <w:t xml:space="preserve">Quelle: </w:t>
      </w:r>
      <w:r>
        <w:t>https://mcp.opencaselaw.ch/entscheid/bs_sozialversicherungsgericht_IV.2022.103</w:t>
      </w:r>
    </w:p>
    <w:p>
      <w:r>
        <w:t>FR: BS_SOZIALVERSICHERUNGSGERICHT IV.2022.103 du 26 septembre 2022</w:t>
      </w:r>
    </w:p>
    <w:p>
      <w:r>
        <w:t>IT: BS_SOZIALVERSICHERUNGSGERICHT IV.2022.103 del 26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2023</w:t>
      </w:r>
    </w:p>
    <w:p>
      <w:r>
        <w:t>Mitwirkende</w:t>
      </w:r>
    </w:p>
    <w:p>
      <w:r>
        <w:t>Dr. G. Thomi (Vorsitz), MLaw B. Fürbringer, Th. Aeschbach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IV.2022.103</w:t>
      </w:r>
    </w:p>
    <w:p>
      <w:r>
        <w:t>Verfügung vom 26. September 2022</w:t>
      </w:r>
    </w:p>
    <w:p>
      <w:r>
        <w:t>Rückweisung an die Beschwerdegegnerin zwecks weiterer Abklärung des medizinischen Sachverhalts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