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IV.2021.93 vom 5. Mai 2021</w:t>
      </w:r>
    </w:p>
    <w:p>
      <w:r>
        <w:t>Bs Sozialversicherungsgericht, 2021-05-05, DE</w:t>
      </w:r>
    </w:p>
    <w:p>
      <w:r>
        <w:rPr>
          <w:b/>
        </w:rPr>
        <w:t xml:space="preserve">Quelle: </w:t>
      </w:r>
      <w:r>
        <w:t>https://mcp.opencaselaw.ch/entscheid/bs_sozialversicherungsgericht_IV.2021.93</w:t>
      </w:r>
    </w:p>
    <w:p>
      <w:r>
        <w:t>FR: BS_SOZIALVERSICHERUNGSGERICHT IV.2021.93 du 5 mai 2021</w:t>
      </w:r>
    </w:p>
    <w:p>
      <w:r>
        <w:t>IT: BS_SOZIALVERSICHERUNGSGERICHT IV.2021.93 del 5 maggio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Oktober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vertreten durch lic. iur. B____</w:t>
      </w:r>
    </w:p>
    <w:p>
      <w:r>
        <w:t>Beschwerdeführerin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IV.2021.93</w:t>
      </w:r>
    </w:p>
    <w:p>
      <w:r>
        <w:t>Verfügung vom 5. Mai 2021</w:t>
      </w:r>
    </w:p>
    <w:p>
      <w:r>
        <w:t>Beschwerde teilweise gutgeheissen. Bidisziplinäres Gutachten beweiskräftig.       Auf abweichende Einschätzung der Arbeitsfähigkeit des RAD kann nicht abgestellt werden. Restarbeitsfähigkeit voll verwertbar.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