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IV.2021.60 vom 2. März 2021</w:t>
      </w:r>
    </w:p>
    <w:p>
      <w:r>
        <w:t>Bs Sozialversicherungsgericht, 2021-03-02, DE</w:t>
      </w:r>
    </w:p>
    <w:p>
      <w:r>
        <w:rPr>
          <w:b/>
        </w:rPr>
        <w:t xml:space="preserve">Quelle: </w:t>
      </w:r>
      <w:r>
        <w:t>https://mcp.opencaselaw.ch/entscheid/bs_sozialversicherungsgericht_IV.2021.60</w:t>
      </w:r>
    </w:p>
    <w:p>
      <w:r>
        <w:t>FR: BS_SOZIALVERSICHERUNGSGERICHT IV.2021.60 du 2 mars 2021</w:t>
      </w:r>
    </w:p>
    <w:p>
      <w:r>
        <w:t>IT: BS_SOZIALVERSICHERUNGSGERICHT IV.2021.60 del 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Oktober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IV.2021.60</w:t>
      </w:r>
    </w:p>
    <w:p>
      <w:r>
        <w:t>Verfügung vom 2. März 2021</w:t>
      </w:r>
    </w:p>
    <w:p>
      <w:r>
        <w:t>Beweistauglichkeit eines Gutachtens; gemischte Methode, Aufteilung von Haushalt und Erwerb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