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IV.2021.51 vom 25. März 2021</w:t>
      </w:r>
    </w:p>
    <w:p>
      <w:r>
        <w:t>Bs Sozialversicherungsgericht, 2021-03-25, DE</w:t>
      </w:r>
    </w:p>
    <w:p>
      <w:r>
        <w:rPr>
          <w:b/>
        </w:rPr>
        <w:t xml:space="preserve">Quelle: </w:t>
      </w:r>
      <w:r>
        <w:t>https://mcp.opencaselaw.ch/entscheid/bs_sozialversicherungsgericht_IV.2021.51</w:t>
      </w:r>
    </w:p>
    <w:p>
      <w:r>
        <w:t>FR: BS_SOZIALVERSICHERUNGSGERICHT IV.2021.51 du 25 mars 2021</w:t>
      </w:r>
    </w:p>
    <w:p>
      <w:r>
        <w:t>IT: BS_SOZIALVERSICHERUNGSGERICHT IV.2021.51 del 25 marzo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vom3. November 2021</w:t>
      </w:r>
    </w:p>
    <w:p>
      <w:r>
        <w:t>Mitwirkende</w:t>
      </w:r>
    </w:p>
    <w:p>
      <w:r>
        <w:t>lic. iur. K. Zehnder (Vorsitz), Dr. med. W. Rühl, lic. iur. M. Fuchs</w:t>
      </w:r>
    </w:p>
    <w:p>
      <w:r>
        <w:t>und Gerichtsschreiberin MLaw N. Marbot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Advokat, [...]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IV.2021.51</w:t>
      </w:r>
    </w:p>
    <w:p>
      <w:r>
        <w:t>Zwischenverfügung vom 25. März 2021</w:t>
      </w:r>
    </w:p>
    <w:p>
      <w:r>
        <w:t>Beschwerde gutgeheissen. Einholung einer erneuten (stationären) Begutachtung stellt eine unzulässige «second opinion» dar.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