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IV.2021.46 vom 19. Februar 2021</w:t>
      </w:r>
    </w:p>
    <w:p>
      <w:r>
        <w:t>Bs Sozialversicherungsgericht, 2021-02-19, DE</w:t>
      </w:r>
    </w:p>
    <w:p>
      <w:r>
        <w:rPr>
          <w:b/>
        </w:rPr>
        <w:t xml:space="preserve">Quelle: </w:t>
      </w:r>
      <w:r>
        <w:t>https://mcp.opencaselaw.ch/entscheid/bs_sozialversicherungsgericht_IV.2021.46</w:t>
      </w:r>
    </w:p>
    <w:p>
      <w:r>
        <w:t>FR: BS_SOZIALVERSICHERUNGSGERICHT IV.2021.46 du 19 février 2021</w:t>
      </w:r>
    </w:p>
    <w:p>
      <w:r>
        <w:t>IT: BS_SOZIALVERSICHERUNGSGERICHT IV.2021.46 del 19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September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IV.2021.46</w:t>
      </w:r>
    </w:p>
    <w:p>
      <w:r>
        <w:t>Verfügung vom 19. Februar 2021</w:t>
      </w:r>
    </w:p>
    <w:p>
      <w:r>
        <w:t>Revision von Amtes wegen; Verbesserung des Gesundheitszustandes nicht nachgewiesen. Gutheissung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